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E6823" w14:textId="6BB08AC0" w:rsidR="006D6C03" w:rsidRDefault="00F90EB7">
      <w:pPr>
        <w:spacing w:after="170"/>
        <w:ind w:left="624"/>
        <w:rPr>
          <w:b/>
          <w:bCs/>
        </w:rPr>
      </w:pPr>
      <w:r>
        <w:rPr>
          <w:b/>
          <w:bCs/>
          <w:noProof/>
        </w:rPr>
        <w:drawing>
          <wp:anchor distT="0" distB="0" distL="114300" distR="114300" simplePos="0" relativeHeight="251663872" behindDoc="1" locked="0" layoutInCell="1" allowOverlap="1" wp14:anchorId="6F918472" wp14:editId="74CC058F">
            <wp:simplePos x="0" y="0"/>
            <wp:positionH relativeFrom="column">
              <wp:posOffset>320675</wp:posOffset>
            </wp:positionH>
            <wp:positionV relativeFrom="paragraph">
              <wp:posOffset>2649855</wp:posOffset>
            </wp:positionV>
            <wp:extent cx="5767200" cy="288000"/>
            <wp:effectExtent l="0" t="0" r="0" b="0"/>
            <wp:wrapTight wrapText="bothSides">
              <wp:wrapPolygon edited="0">
                <wp:start x="0" y="0"/>
                <wp:lineTo x="0" y="20026"/>
                <wp:lineTo x="21476" y="20026"/>
                <wp:lineTo x="2147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Schriftzug_04_2020.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7200" cy="288000"/>
                    </a:xfrm>
                    <a:prstGeom prst="rect">
                      <a:avLst/>
                    </a:prstGeom>
                  </pic:spPr>
                </pic:pic>
              </a:graphicData>
            </a:graphic>
            <wp14:sizeRelH relativeFrom="margin">
              <wp14:pctWidth>0</wp14:pctWidth>
            </wp14:sizeRelH>
            <wp14:sizeRelV relativeFrom="margin">
              <wp14:pctHeight>0</wp14:pctHeight>
            </wp14:sizeRelV>
          </wp:anchor>
        </w:drawing>
      </w:r>
      <w:r w:rsidR="00E51350">
        <w:rPr>
          <w:b/>
          <w:bCs/>
          <w:noProof/>
        </w:rPr>
        <mc:AlternateContent>
          <mc:Choice Requires="wps">
            <w:drawing>
              <wp:anchor distT="0" distB="0" distL="114300" distR="114300" simplePos="0" relativeHeight="251651584" behindDoc="0" locked="0" layoutInCell="1" allowOverlap="1" wp14:anchorId="19E6CB83" wp14:editId="51FE3509">
                <wp:simplePos x="0" y="0"/>
                <wp:positionH relativeFrom="page">
                  <wp:posOffset>484505</wp:posOffset>
                </wp:positionH>
                <wp:positionV relativeFrom="page">
                  <wp:posOffset>0</wp:posOffset>
                </wp:positionV>
                <wp:extent cx="6120130" cy="3275965"/>
                <wp:effectExtent l="0" t="0" r="0" b="0"/>
                <wp:wrapTopAndBottom/>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27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C062" w14:textId="77777777" w:rsidR="00E11384" w:rsidRDefault="00E113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6CB83" id="_x0000_t202" coordsize="21600,21600" o:spt="202" path="m,l,21600r21600,l21600,xe">
                <v:stroke joinstyle="miter"/>
                <v:path gradientshapeok="t" o:connecttype="rect"/>
              </v:shapetype>
              <v:shape id="Text Box 6" o:spid="_x0000_s1026" type="#_x0000_t202" style="position:absolute;left:0;text-align:left;margin-left:38.15pt;margin-top:0;width:481.9pt;height:257.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" filled="f" stroked="f">
                <v:textbox>
                  <w:txbxContent>
                    <w:p w14:paraId="7092C062" w14:textId="77777777" w:rsidR="00E11384" w:rsidRDefault="00E11384"/>
                  </w:txbxContent>
                </v:textbox>
                <w10:wrap type="topAndBottom" anchorx="page" anchory="page"/>
              </v:shape>
            </w:pict>
          </mc:Fallback>
        </mc:AlternateContent>
      </w:r>
      <w:r w:rsidR="00E51350">
        <w:rPr>
          <w:noProof/>
          <w:sz w:val="20"/>
        </w:rPr>
        <mc:AlternateContent>
          <mc:Choice Requires="wps">
            <w:drawing>
              <wp:anchor distT="0" distB="0" distL="114300" distR="114300" simplePos="0" relativeHeight="251652608" behindDoc="0" locked="0" layoutInCell="1" allowOverlap="1" wp14:anchorId="72A184D9" wp14:editId="20457E4D">
                <wp:simplePos x="0" y="0"/>
                <wp:positionH relativeFrom="column">
                  <wp:posOffset>161290</wp:posOffset>
                </wp:positionH>
                <wp:positionV relativeFrom="paragraph">
                  <wp:posOffset>-170180</wp:posOffset>
                </wp:positionV>
                <wp:extent cx="6059805" cy="2514600"/>
                <wp:effectExtent l="0" t="0" r="0" b="0"/>
                <wp:wrapSquare wrapText="bothSides"/>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04B1B" w14:textId="77777777" w:rsidR="00E11384" w:rsidRDefault="00E11384">
                            <w:pPr>
                              <w:spacing w:line="240" w:lineRule="auto"/>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184D9" id="Text Box 52" o:spid="_x0000_s1027" type="#_x0000_t202" style="position:absolute;left:0;text-align:left;margin-left:12.7pt;margin-top:-13.4pt;width:477.15pt;height:1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" filled="f" stroked="f">
                <v:textbox>
                  <w:txbxContent>
                    <w:p w14:paraId="07C04B1B" w14:textId="77777777" w:rsidR="00E11384" w:rsidRDefault="00E11384">
                      <w:pPr>
                        <w:spacing w:line="240" w:lineRule="auto"/>
                        <w:ind w:left="0"/>
                      </w:pPr>
                    </w:p>
                  </w:txbxContent>
                </v:textbox>
                <w10:wrap type="square"/>
              </v:shape>
            </w:pict>
          </mc:Fallback>
        </mc:AlternateContent>
      </w:r>
      <w:r w:rsidR="00E51350">
        <w:rPr>
          <w:b/>
          <w:bCs/>
          <w:noProof/>
        </w:rPr>
        <mc:AlternateContent>
          <mc:Choice Requires="wps">
            <w:drawing>
              <wp:anchor distT="0" distB="0" distL="114300" distR="114300" simplePos="0" relativeHeight="251653632" behindDoc="1" locked="1" layoutInCell="1" allowOverlap="0" wp14:anchorId="75D6D464" wp14:editId="250B1642">
                <wp:simplePos x="0" y="0"/>
                <wp:positionH relativeFrom="page">
                  <wp:posOffset>538480</wp:posOffset>
                </wp:positionH>
                <wp:positionV relativeFrom="page">
                  <wp:posOffset>3661410</wp:posOffset>
                </wp:positionV>
                <wp:extent cx="6120130" cy="1515110"/>
                <wp:effectExtent l="0" t="0" r="13970" b="8890"/>
                <wp:wrapTight wrapText="bothSides">
                  <wp:wrapPolygon edited="0">
                    <wp:start x="0" y="0"/>
                    <wp:lineTo x="0" y="21455"/>
                    <wp:lineTo x="21582" y="21455"/>
                    <wp:lineTo x="21582" y="0"/>
                    <wp:lineTo x="0" y="0"/>
                  </wp:wrapPolygon>
                </wp:wrapTight>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AA08F" w14:textId="77777777" w:rsidR="005A09F1" w:rsidRDefault="005A09F1" w:rsidP="005A09F1">
                            <w:pPr>
                              <w:pStyle w:val="Inhalt"/>
                              <w:spacing w:after="113"/>
                              <w:rPr>
                                <w:b/>
                                <w:bCs/>
                                <w:sz w:val="21"/>
                              </w:rPr>
                            </w:pPr>
                            <w:r>
                              <w:rPr>
                                <w:b/>
                                <w:bCs/>
                                <w:sz w:val="21"/>
                              </w:rPr>
                              <w:t>Inhalt</w:t>
                            </w:r>
                          </w:p>
                          <w:p w14:paraId="4DAB5059" w14:textId="015CF553" w:rsidR="00F90EB7" w:rsidRDefault="005A09F1" w:rsidP="00F90EB7">
                            <w:pPr>
                              <w:pStyle w:val="Inhalt"/>
                            </w:pPr>
                            <w:r>
                              <w:t>1</w:t>
                            </w:r>
                            <w:r>
                              <w:tab/>
                            </w:r>
                            <w:r w:rsidR="00F90EB7">
                              <w:t>Berücksichtigung von Schuldzinsen bei gemischt genutzter Immobilie</w:t>
                            </w:r>
                          </w:p>
                          <w:p w14:paraId="403654A0" w14:textId="77777777" w:rsidR="00F90EB7" w:rsidRDefault="00F90EB7" w:rsidP="00F90EB7">
                            <w:pPr>
                              <w:pStyle w:val="Inhalt"/>
                            </w:pPr>
                            <w:r>
                              <w:t>2</w:t>
                            </w:r>
                            <w:r>
                              <w:tab/>
                              <w:t>Vorsteuerabzug bei gemischt genutzten Gegenständen: Zuordnungsfrist</w:t>
                            </w:r>
                          </w:p>
                          <w:p w14:paraId="7F596659" w14:textId="73B6EF8B" w:rsidR="00F90EB7" w:rsidRDefault="00F90EB7" w:rsidP="00F90EB7">
                            <w:pPr>
                              <w:pStyle w:val="Inhalt"/>
                            </w:pPr>
                            <w:r>
                              <w:t>3</w:t>
                            </w:r>
                            <w:r>
                              <w:tab/>
                              <w:t>Erbschaftsteuerbefreiung für „Familienheim“: „Unverzügliche“ Selbstnutzung durch Erben bei umfangreichen Reparaturarbeiten</w:t>
                            </w:r>
                          </w:p>
                          <w:p w14:paraId="720463F6" w14:textId="31DC7F5E" w:rsidR="00F90EB7" w:rsidRDefault="00F90EB7" w:rsidP="00F90EB7">
                            <w:pPr>
                              <w:pStyle w:val="Inhalt"/>
                            </w:pPr>
                            <w:r>
                              <w:t>4</w:t>
                            </w:r>
                            <w:r>
                              <w:tab/>
                              <w:t>Ordnungsmäßige Rechnungen – Anforderungen an die Leistungsbeschreibung</w:t>
                            </w:r>
                          </w:p>
                          <w:p w14:paraId="2D7BD219" w14:textId="77777777" w:rsidR="00F90EB7" w:rsidRDefault="00F90EB7" w:rsidP="00F90EB7">
                            <w:pPr>
                              <w:pStyle w:val="Inhalt"/>
                            </w:pPr>
                            <w:r>
                              <w:t>5</w:t>
                            </w:r>
                            <w:r>
                              <w:tab/>
                              <w:t>Zweitwohnung bei Auswärtstätigkeit</w:t>
                            </w:r>
                          </w:p>
                          <w:p w14:paraId="3BAA4178" w14:textId="22A0795F" w:rsidR="00E11384" w:rsidRDefault="00F90EB7" w:rsidP="00F90EB7">
                            <w:pPr>
                              <w:pStyle w:val="Inhalt"/>
                            </w:pPr>
                            <w:r>
                              <w:t>6</w:t>
                            </w:r>
                            <w:r>
                              <w:tab/>
                              <w:t>Private Kapitalerträge in der Einkommensteuer-Erklärung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D464" id="Text Box 10" o:spid="_x0000_s1028" type="#_x0000_t202" style="position:absolute;left:0;text-align:left;margin-left:42.4pt;margin-top:288.3pt;width:481.9pt;height:119.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" o:allowoverlap="f" filled="f" stroked="f">
                <v:textbox inset="0,0,0,0">
                  <w:txbxContent>
                    <w:p w14:paraId="6F8AA08F" w14:textId="77777777" w:rsidR="005A09F1" w:rsidRDefault="005A09F1" w:rsidP="005A09F1">
                      <w:pPr>
                        <w:pStyle w:val="Inhalt"/>
                        <w:spacing w:after="113"/>
                        <w:rPr>
                          <w:b/>
                          <w:bCs/>
                          <w:sz w:val="21"/>
                        </w:rPr>
                      </w:pPr>
                      <w:r>
                        <w:rPr>
                          <w:b/>
                          <w:bCs/>
                          <w:sz w:val="21"/>
                        </w:rPr>
                        <w:t>Inhalt</w:t>
                      </w:r>
                    </w:p>
                    <w:p w14:paraId="4DAB5059" w14:textId="015CF553" w:rsidR="00F90EB7" w:rsidRDefault="005A09F1" w:rsidP="00F90EB7">
                      <w:pPr>
                        <w:pStyle w:val="Inhalt"/>
                      </w:pPr>
                      <w:r>
                        <w:t>1</w:t>
                      </w:r>
                      <w:r>
                        <w:tab/>
                      </w:r>
                      <w:r w:rsidR="00F90EB7">
                        <w:t>Berücksichtigung von Schuldzinsen bei gemischt genutzter Immobilie</w:t>
                      </w:r>
                    </w:p>
                    <w:p w14:paraId="403654A0" w14:textId="77777777" w:rsidR="00F90EB7" w:rsidRDefault="00F90EB7" w:rsidP="00F90EB7">
                      <w:pPr>
                        <w:pStyle w:val="Inhalt"/>
                      </w:pPr>
                      <w:r>
                        <w:t>2</w:t>
                      </w:r>
                      <w:r>
                        <w:tab/>
                        <w:t>Vorsteuerabzug bei gemischt genutzten Gegenständen: Zuordnungsfrist</w:t>
                      </w:r>
                    </w:p>
                    <w:p w14:paraId="7F596659" w14:textId="73B6EF8B" w:rsidR="00F90EB7" w:rsidRDefault="00F90EB7" w:rsidP="00F90EB7">
                      <w:pPr>
                        <w:pStyle w:val="Inhalt"/>
                      </w:pPr>
                      <w:r>
                        <w:t>3</w:t>
                      </w:r>
                      <w:r>
                        <w:tab/>
                        <w:t>Erbschaftsteuerbefreiung für „Familienheim“: „Unverzügliche“ Selbstnutzung durch Erben bei umfangreichen Reparaturarbeiten</w:t>
                      </w:r>
                    </w:p>
                    <w:p w14:paraId="720463F6" w14:textId="31DC7F5E" w:rsidR="00F90EB7" w:rsidRDefault="00F90EB7" w:rsidP="00F90EB7">
                      <w:pPr>
                        <w:pStyle w:val="Inhalt"/>
                      </w:pPr>
                      <w:r>
                        <w:t>4</w:t>
                      </w:r>
                      <w:r>
                        <w:tab/>
                        <w:t>Ordnungsmäßige Rechnungen – Anforderungen an die Leistungsbeschreibung</w:t>
                      </w:r>
                    </w:p>
                    <w:p w14:paraId="2D7BD219" w14:textId="77777777" w:rsidR="00F90EB7" w:rsidRDefault="00F90EB7" w:rsidP="00F90EB7">
                      <w:pPr>
                        <w:pStyle w:val="Inhalt"/>
                      </w:pPr>
                      <w:r>
                        <w:t>5</w:t>
                      </w:r>
                      <w:r>
                        <w:tab/>
                        <w:t>Zweitwohnung bei Auswärtstätigkeit</w:t>
                      </w:r>
                    </w:p>
                    <w:p w14:paraId="3BAA4178" w14:textId="22A0795F" w:rsidR="00E11384" w:rsidRDefault="00F90EB7" w:rsidP="00F90EB7">
                      <w:pPr>
                        <w:pStyle w:val="Inhalt"/>
                      </w:pPr>
                      <w:r>
                        <w:t>6</w:t>
                      </w:r>
                      <w:r>
                        <w:tab/>
                        <w:t>Private Kapitalerträge in der Einkommensteuer-Erklärung 2019</w:t>
                      </w:r>
                    </w:p>
                  </w:txbxContent>
                </v:textbox>
                <w10:wrap type="tight" anchorx="page" anchory="page"/>
                <w10:anchorlock/>
              </v:shape>
            </w:pict>
          </mc:Fallback>
        </mc:AlternateContent>
      </w:r>
      <w:r w:rsidR="006D6C03">
        <w:rPr>
          <w:b/>
          <w:bCs/>
        </w:rPr>
        <w:t xml:space="preserve">Allgemeine  Steuerzahlungstermine  im  </w:t>
      </w:r>
      <w:r>
        <w:rPr>
          <w:b/>
          <w:bCs/>
        </w:rPr>
        <w:t>April</w:t>
      </w:r>
    </w:p>
    <w:p w14:paraId="6FDC36FD" w14:textId="77777777" w:rsidR="00F90EB7" w:rsidRDefault="00F90EB7" w:rsidP="00F90EB7">
      <w:pPr>
        <w:tabs>
          <w:tab w:val="center" w:pos="5103"/>
        </w:tabs>
        <w:spacing w:after="80" w:line="180" w:lineRule="exact"/>
        <w:rPr>
          <w:b/>
          <w:bCs/>
          <w:sz w:val="17"/>
        </w:rPr>
      </w:pPr>
      <w:r>
        <w:rPr>
          <w:b/>
          <w:bCs/>
          <w:noProof/>
          <w:sz w:val="20"/>
        </w:rPr>
        <mc:AlternateContent>
          <mc:Choice Requires="wps">
            <w:drawing>
              <wp:anchor distT="0" distB="0" distL="114300" distR="114300" simplePos="0" relativeHeight="251657216" behindDoc="1" locked="0" layoutInCell="1" allowOverlap="1" wp14:anchorId="47AA8907" wp14:editId="3561A3FD">
                <wp:simplePos x="0" y="0"/>
                <wp:positionH relativeFrom="page">
                  <wp:posOffset>935990</wp:posOffset>
                </wp:positionH>
                <wp:positionV relativeFrom="paragraph">
                  <wp:posOffset>-259080</wp:posOffset>
                </wp:positionV>
                <wp:extent cx="5760085" cy="179705"/>
                <wp:effectExtent l="0" t="0" r="0" b="0"/>
                <wp:wrapNone/>
                <wp:docPr id="1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797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D1C86" w14:textId="77777777" w:rsidR="00F90EB7" w:rsidRDefault="00F90EB7" w:rsidP="00F90E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A8907" id="Text Box 344" o:spid="_x0000_s1029" type="#_x0000_t202" style="position:absolute;left:0;text-align:left;margin-left:73.7pt;margin-top:-20.4pt;width:453.5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" fillcolor="silver" stroked="f">
                <v:textbox>
                  <w:txbxContent>
                    <w:p w14:paraId="581D1C86" w14:textId="77777777" w:rsidR="00F90EB7" w:rsidRDefault="00F90EB7" w:rsidP="00F90EB7"/>
                  </w:txbxContent>
                </v:textbox>
                <w10:wrap anchorx="page"/>
              </v:shape>
            </w:pict>
          </mc:Fallback>
        </mc:AlternateContent>
      </w:r>
      <w:r>
        <w:rPr>
          <w:b/>
          <w:bCs/>
          <w:sz w:val="17"/>
        </w:rPr>
        <w:t>Fälligkeit</w:t>
      </w:r>
      <w:r>
        <w:rPr>
          <w:rStyle w:val="Funotenzeichen"/>
          <w:b/>
          <w:bCs/>
          <w:sz w:val="17"/>
        </w:rPr>
        <w:footnoteReference w:id="1"/>
      </w:r>
      <w:r>
        <w:rPr>
          <w:b/>
          <w:bCs/>
          <w:sz w:val="17"/>
        </w:rPr>
        <w:tab/>
        <w:t>Ende der Schonfrist</w:t>
      </w:r>
    </w:p>
    <w:p w14:paraId="6E3680D8" w14:textId="6EA4CA3E" w:rsidR="00F90EB7" w:rsidRDefault="00F90EB7" w:rsidP="005568A3">
      <w:pPr>
        <w:pStyle w:val="Faelligkeit"/>
        <w:tabs>
          <w:tab w:val="left" w:pos="993"/>
        </w:tabs>
        <w:spacing w:before="160" w:after="80"/>
      </w:pPr>
      <w:r>
        <w:t>Di.</w:t>
      </w:r>
      <w:r w:rsidR="005568A3">
        <w:tab/>
      </w:r>
      <w:r>
        <w:t>1</w:t>
      </w:r>
      <w:r w:rsidR="00915BCE">
        <w:t>4</w:t>
      </w:r>
      <w:r>
        <w:t>.</w:t>
      </w:r>
      <w:r w:rsidR="00915BCE">
        <w:t>0</w:t>
      </w:r>
      <w:r>
        <w:t>4.</w:t>
      </w:r>
      <w:r w:rsidR="00915BCE">
        <w:rPr>
          <w:rStyle w:val="Funotenzeichen"/>
        </w:rPr>
        <w:footnoteReference w:id="2"/>
      </w:r>
      <w:r>
        <w:tab/>
        <w:t>Lohnsteuer, Kirchensteuer,</w:t>
      </w:r>
      <w:r>
        <w:br/>
        <w:t>Solidaritätszuschlag</w:t>
      </w:r>
      <w:bookmarkStart w:id="0" w:name="_Ref152652906"/>
      <w:r>
        <w:rPr>
          <w:rStyle w:val="Funotenzeichen"/>
        </w:rPr>
        <w:footnoteReference w:id="3"/>
      </w:r>
      <w:bookmarkEnd w:id="0"/>
      <w:r>
        <w:tab/>
        <w:t>1</w:t>
      </w:r>
      <w:r w:rsidR="00915BCE">
        <w:t>7</w:t>
      </w:r>
      <w:r>
        <w:t>.</w:t>
      </w:r>
      <w:r w:rsidR="00915BCE">
        <w:t>0</w:t>
      </w:r>
      <w:r>
        <w:t>4.</w:t>
      </w:r>
    </w:p>
    <w:p w14:paraId="3BF9BEE7" w14:textId="59B0AB4F" w:rsidR="00F90EB7" w:rsidRDefault="00F90EB7" w:rsidP="00F90EB7">
      <w:pPr>
        <w:pStyle w:val="Faelligkeit"/>
        <w:spacing w:after="80"/>
        <w:ind w:firstLine="0"/>
      </w:pPr>
      <w:r>
        <w:t>Umsatzsteuer</w:t>
      </w:r>
      <w:r>
        <w:rPr>
          <w:rStyle w:val="Funotenzeichen"/>
        </w:rPr>
        <w:footnoteReference w:id="4"/>
      </w:r>
      <w:r>
        <w:tab/>
        <w:t>1</w:t>
      </w:r>
      <w:r w:rsidR="00915BCE">
        <w:t>7</w:t>
      </w:r>
      <w:r>
        <w:t>.</w:t>
      </w:r>
      <w:r w:rsidR="00915BCE">
        <w:t>0</w:t>
      </w:r>
      <w:r>
        <w:t>4.</w:t>
      </w:r>
    </w:p>
    <w:p w14:paraId="771D7510" w14:textId="77777777" w:rsidR="00F90EB7" w:rsidRDefault="00F90EB7" w:rsidP="00F90EB7">
      <w:pPr>
        <w:pStyle w:val="Faelligkeit"/>
        <w:spacing w:before="160" w:after="20"/>
        <w:ind w:left="567" w:firstLine="0"/>
      </w:pPr>
      <w:r>
        <w:t>Die 3-tägige Schonfrist gilt nur bei Überweisungen; maßgebend ist die Gutschrift auf dem Konto der Finanzbehörde.</w:t>
      </w:r>
    </w:p>
    <w:p w14:paraId="4020DC27" w14:textId="77777777" w:rsidR="00F90EB7" w:rsidRDefault="00F90EB7" w:rsidP="00F90EB7">
      <w:pPr>
        <w:pStyle w:val="Faelligkeit"/>
        <w:spacing w:after="120"/>
        <w:ind w:left="567" w:firstLine="0"/>
      </w:pPr>
      <w:r>
        <w:t>Dagegen muss bei Scheckzahlung der Scheck spätestens 3 Tage vor dem Fälligkeitstermin eingereicht werden.</w:t>
      </w:r>
    </w:p>
    <w:p w14:paraId="0310D936" w14:textId="432E4A95" w:rsidR="006D6C03" w:rsidRDefault="00E51350" w:rsidP="00DF1900">
      <w:pPr>
        <w:pStyle w:val="berschrift1"/>
        <w:spacing w:before="840" w:after="240"/>
        <w:rPr>
          <w:rStyle w:val="Ueber1Zahl"/>
          <w:sz w:val="24"/>
        </w:rPr>
      </w:pPr>
      <w:r>
        <w:rPr>
          <w:noProof/>
          <w:sz w:val="20"/>
        </w:rPr>
        <mc:AlternateContent>
          <mc:Choice Requires="wps">
            <w:drawing>
              <wp:anchor distT="0" distB="0" distL="114300" distR="114300" simplePos="0" relativeHeight="251654656" behindDoc="1" locked="0" layoutInCell="1" allowOverlap="0" wp14:anchorId="2D6E188C" wp14:editId="7DDCFBB8">
                <wp:simplePos x="0" y="0"/>
                <wp:positionH relativeFrom="page">
                  <wp:posOffset>622935</wp:posOffset>
                </wp:positionH>
                <wp:positionV relativeFrom="paragraph">
                  <wp:posOffset>453390</wp:posOffset>
                </wp:positionV>
                <wp:extent cx="6120000" cy="180000"/>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A8737"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188C" id="Text Box 19" o:spid="_x0000_s1030" type="#_x0000_t202" style="position:absolute;left:0;text-align:left;margin-left:49.05pt;margin-top:35.7pt;width:481.9pt;height:14.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" o:allowoverlap="f" fillcolor="silver" stroked="f">
                <v:textbox>
                  <w:txbxContent>
                    <w:p w14:paraId="558A8737" w14:textId="77777777" w:rsidR="00E11384" w:rsidRDefault="00E11384">
                      <w:pPr>
                        <w:rPr>
                          <w:color w:val="999999"/>
                        </w:rPr>
                      </w:pPr>
                    </w:p>
                  </w:txbxContent>
                </v:textbox>
                <w10:wrap anchorx="page"/>
              </v:shape>
            </w:pict>
          </mc:Fallback>
        </mc:AlternateContent>
      </w:r>
      <w:r w:rsidR="006D6C03">
        <w:rPr>
          <w:rStyle w:val="Ueber1Zahl"/>
        </w:rPr>
        <w:tab/>
        <w:t>1</w:t>
      </w:r>
      <w:r w:rsidR="006D6C03">
        <w:tab/>
      </w:r>
      <w:r w:rsidR="00915BCE" w:rsidRPr="00915BCE">
        <w:t>Berücksichti</w:t>
      </w:r>
      <w:bookmarkStart w:id="1" w:name="_GoBack"/>
      <w:bookmarkEnd w:id="1"/>
      <w:r w:rsidR="00915BCE" w:rsidRPr="00915BCE">
        <w:t>gung  von  Schuldzinsen  bei  gemischt  genutzter  Immobilie</w:t>
      </w:r>
    </w:p>
    <w:p w14:paraId="25284108" w14:textId="3041E10D" w:rsidR="00915BCE" w:rsidRDefault="00915BCE" w:rsidP="00915BCE">
      <w:pPr>
        <w:spacing w:after="160"/>
      </w:pPr>
      <w:r>
        <w:t xml:space="preserve">Schuldzinsen können grundsätzlich insoweit als Werbungskosten berücksichtigt werden, als sie in </w:t>
      </w:r>
      <w:r w:rsidRPr="00915BCE">
        <w:rPr>
          <w:spacing w:val="-2"/>
        </w:rPr>
        <w:t>wirt</w:t>
      </w:r>
      <w:r w:rsidRPr="00915BCE">
        <w:rPr>
          <w:spacing w:val="-2"/>
        </w:rPr>
        <w:softHyphen/>
        <w:t>schaftlichem Zusammenhang mit einer Einkunftsart stehen. Entsprechendes gilt, wenn ein Gebäude, das mit</w:t>
      </w:r>
      <w:r>
        <w:t xml:space="preserve"> einem Darlehen finanziert wurde, nicht nur selbst genutzt wird, sondern teilweise auch der Erzielung von </w:t>
      </w:r>
      <w:r w:rsidRPr="00915BCE">
        <w:rPr>
          <w:spacing w:val="-2"/>
        </w:rPr>
        <w:t>Einkünften (z.</w:t>
      </w:r>
      <w:r>
        <w:rPr>
          <w:spacing w:val="-2"/>
        </w:rPr>
        <w:t> </w:t>
      </w:r>
      <w:r w:rsidRPr="00915BCE">
        <w:rPr>
          <w:spacing w:val="-2"/>
        </w:rPr>
        <w:t>B. durch Vermietung) dient. Eine Berücksichtigung der Schuldzinsen wäre danach nur anteilig</w:t>
      </w:r>
      <w:r>
        <w:t xml:space="preserve"> möglich, d. h., soweit das Darlehen auf den vermieteten Gebäudeteil entfällt.</w:t>
      </w:r>
    </w:p>
    <w:p w14:paraId="14539A50" w14:textId="0F445A31" w:rsidR="00915BCE" w:rsidRDefault="00915BCE" w:rsidP="00915BCE">
      <w:pPr>
        <w:spacing w:after="120"/>
      </w:pPr>
      <w:r>
        <w:t>Nach der Rechtsprechung des Bundesfinanzhofs</w:t>
      </w:r>
      <w:r>
        <w:rPr>
          <w:rStyle w:val="Funotenzeichen"/>
        </w:rPr>
        <w:footnoteReference w:id="5"/>
      </w:r>
      <w:r>
        <w:t xml:space="preserve"> können die Schuldzinsen aber dann in vollem Umfang geltend gemacht werden, wenn das Darlehen gezielt einem bestimmten, der Einkunftserzielung dienenden </w:t>
      </w:r>
      <w:r w:rsidRPr="00915BCE">
        <w:rPr>
          <w:spacing w:val="-2"/>
        </w:rPr>
        <w:t xml:space="preserve">Gebäudeteil </w:t>
      </w:r>
      <w:r w:rsidRPr="00915BCE">
        <w:rPr>
          <w:b/>
          <w:bCs/>
          <w:spacing w:val="-2"/>
        </w:rPr>
        <w:t>zugeordnet</w:t>
      </w:r>
      <w:r w:rsidRPr="00915BCE">
        <w:rPr>
          <w:spacing w:val="-2"/>
        </w:rPr>
        <w:t xml:space="preserve"> wird. Voraussetzung hierfür ist, dass der Kaufpreis auf die unterschiedlich genutzten</w:t>
      </w:r>
      <w:r>
        <w:t xml:space="preserve"> Gebäudeteile aufgeteilt wird und die auf diesen Gebäudeteil entfallenden Anschaffungskosten </w:t>
      </w:r>
      <w:r w:rsidRPr="00915BCE">
        <w:rPr>
          <w:b/>
          <w:bCs/>
        </w:rPr>
        <w:t>tatsächlich</w:t>
      </w:r>
      <w:r>
        <w:t xml:space="preserve"> auch mit den Darlehensmitteln bezahlt werden.</w:t>
      </w:r>
    </w:p>
    <w:p w14:paraId="459D1C80" w14:textId="4D456DB5" w:rsidR="006D6C03" w:rsidRPr="00F25EB2" w:rsidRDefault="00915BCE" w:rsidP="00A43B53">
      <w:pPr>
        <w:spacing w:after="100"/>
      </w:pPr>
      <w:r>
        <w:lastRenderedPageBreak/>
        <w:t>In einer neueren Entscheidung hat der Bundesfinanzho</w:t>
      </w:r>
      <w:r w:rsidRPr="007C0D3A">
        <w:rPr>
          <w:spacing w:val="30"/>
        </w:rPr>
        <w:t>f</w:t>
      </w:r>
      <w:r>
        <w:rPr>
          <w:rStyle w:val="Funotenzeichen"/>
        </w:rPr>
        <w:footnoteReference w:id="6"/>
      </w:r>
      <w:r>
        <w:t xml:space="preserve"> klargestellt, dass eine gesonderte Zuordnung der Darlehen zu den Anschaffungskosten des fremdvermieteten Teils des Gebäudes aber dann </w:t>
      </w:r>
      <w:r w:rsidRPr="007C0D3A">
        <w:rPr>
          <w:b/>
          <w:bCs/>
        </w:rPr>
        <w:t>nicht</w:t>
      </w:r>
      <w:r>
        <w:t xml:space="preserve"> in Betracht kommt, wenn die Darlehensmittel zuvor auf ein privates Girokonto geflossen sind und von dort zusammen mit den dort befindlichen Eigenmitteln zur Begleichung des gesamten Kaufpreises verwendet werden. Auf</w:t>
      </w:r>
      <w:r w:rsidR="00794E35">
        <w:softHyphen/>
      </w:r>
      <w:r>
        <w:t xml:space="preserve">grund der </w:t>
      </w:r>
      <w:r w:rsidRPr="007C0D3A">
        <w:rPr>
          <w:b/>
          <w:bCs/>
        </w:rPr>
        <w:t>Vermischung</w:t>
      </w:r>
      <w:r>
        <w:t xml:space="preserve"> der Eigen- und der Fremdmittel war nach Auffassung des Gerichts </w:t>
      </w:r>
      <w:r w:rsidRPr="007C0D3A">
        <w:rPr>
          <w:b/>
          <w:bCs/>
        </w:rPr>
        <w:t>nicht</w:t>
      </w:r>
      <w:r>
        <w:t xml:space="preserve"> mehr erkennbar, welche Mittel konkret für die Bezahlung des selbst- oder des fremdgenutzten Gebäudeteils ver</w:t>
      </w:r>
      <w:r w:rsidR="00794E35">
        <w:softHyphen/>
      </w:r>
      <w:r>
        <w:t xml:space="preserve">wendet worden sind. Da somit auch Eigenmittel in die Gesamtfinanzierung eingeflossen sind, sei eine </w:t>
      </w:r>
      <w:r w:rsidRPr="00794E35">
        <w:rPr>
          <w:spacing w:val="-2"/>
        </w:rPr>
        <w:t>Zu</w:t>
      </w:r>
      <w:r w:rsidR="00794E35" w:rsidRPr="00794E35">
        <w:rPr>
          <w:spacing w:val="-2"/>
        </w:rPr>
        <w:softHyphen/>
      </w:r>
      <w:r w:rsidRPr="00794E35">
        <w:rPr>
          <w:spacing w:val="-2"/>
        </w:rPr>
        <w:t>rechnung der Darlehenszinsen zu den Werbungskosten aus Vermietung und Verpachtung nur im Verhältnis</w:t>
      </w:r>
      <w:r>
        <w:t xml:space="preserve"> der Nutzfläche des selbstgenutzten zu der des vermieteten Teils möglich.</w:t>
      </w:r>
    </w:p>
    <w:p w14:paraId="375B2607" w14:textId="1D5BE4BC" w:rsidR="006D6C03" w:rsidRDefault="00E51350" w:rsidP="00794E35">
      <w:pPr>
        <w:pStyle w:val="berschrift1"/>
      </w:pPr>
      <w:r>
        <w:rPr>
          <w:noProof/>
          <w:sz w:val="20"/>
        </w:rPr>
        <mc:AlternateContent>
          <mc:Choice Requires="wps">
            <w:drawing>
              <wp:anchor distT="0" distB="0" distL="114300" distR="114300" simplePos="0" relativeHeight="251655680" behindDoc="1" locked="0" layoutInCell="1" allowOverlap="0" wp14:anchorId="53FC0443" wp14:editId="21B1C7BE">
                <wp:simplePos x="0" y="0"/>
                <wp:positionH relativeFrom="page">
                  <wp:posOffset>622935</wp:posOffset>
                </wp:positionH>
                <wp:positionV relativeFrom="paragraph">
                  <wp:posOffset>237490</wp:posOffset>
                </wp:positionV>
                <wp:extent cx="6120000" cy="180000"/>
                <wp:effectExtent l="0" t="0" r="0" b="0"/>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3247B"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C0443" id="Text Box 106" o:spid="_x0000_s1031" type="#_x0000_t202" style="position:absolute;left:0;text-align:left;margin-left:49.05pt;margin-top:18.7pt;width:481.9pt;height:14.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" o:allowoverlap="f" fillcolor="silver" stroked="f">
                <v:textbox>
                  <w:txbxContent>
                    <w:p w14:paraId="3BA3247B" w14:textId="77777777" w:rsidR="00E11384" w:rsidRDefault="00E11384">
                      <w:pPr>
                        <w:rPr>
                          <w:color w:val="999999"/>
                        </w:rPr>
                      </w:pPr>
                    </w:p>
                  </w:txbxContent>
                </v:textbox>
                <w10:wrap anchorx="page"/>
              </v:shape>
            </w:pict>
          </mc:Fallback>
        </mc:AlternateContent>
      </w:r>
      <w:r w:rsidR="006D6C03">
        <w:tab/>
      </w:r>
      <w:r w:rsidR="006D6C03">
        <w:rPr>
          <w:rStyle w:val="Ueber1Zahl"/>
        </w:rPr>
        <w:t>2</w:t>
      </w:r>
      <w:r w:rsidR="006D6C03">
        <w:tab/>
      </w:r>
      <w:r w:rsidR="00794E35" w:rsidRPr="00794E35">
        <w:t>Vorsteuerabzug  bei  gemischt  genutzten  Gegenständen:  Zuordnungsfrist</w:t>
      </w:r>
    </w:p>
    <w:p w14:paraId="3C73CF7F" w14:textId="42EFA708" w:rsidR="00794E35" w:rsidRPr="00794E35" w:rsidRDefault="00794E35" w:rsidP="00A43B53">
      <w:pPr>
        <w:spacing w:after="100"/>
        <w:rPr>
          <w:rStyle w:val="Standard1"/>
          <w:rFonts w:ascii="Minion Pro" w:hAnsi="Minion Pro"/>
        </w:rPr>
      </w:pPr>
      <w:r w:rsidRPr="00794E35">
        <w:rPr>
          <w:rStyle w:val="Standard1"/>
          <w:rFonts w:ascii="Minion Pro" w:hAnsi="Minion Pro"/>
          <w:spacing w:val="-2"/>
        </w:rPr>
        <w:t>Gegenstände, die sowohl für unternehmerische als auch für unternehmensfremde (private) Zwecke verwendet</w:t>
      </w:r>
      <w:r w:rsidRPr="00794E35">
        <w:rPr>
          <w:rStyle w:val="Standard1"/>
          <w:rFonts w:ascii="Minion Pro" w:hAnsi="Minion Pro"/>
        </w:rPr>
        <w:t xml:space="preserve"> werden (sog. gemischt genutzte Gegenstände), können</w:t>
      </w:r>
    </w:p>
    <w:p w14:paraId="41EC0385" w14:textId="67DA28A5" w:rsidR="00794E35" w:rsidRPr="00794E35" w:rsidRDefault="00794E35" w:rsidP="00A43B53">
      <w:pPr>
        <w:pStyle w:val="Listenabsatz"/>
        <w:numPr>
          <w:ilvl w:val="0"/>
          <w:numId w:val="2"/>
        </w:numPr>
        <w:spacing w:after="100"/>
        <w:ind w:left="765" w:hanging="198"/>
        <w:contextualSpacing w:val="0"/>
        <w:rPr>
          <w:rStyle w:val="Standard1"/>
          <w:rFonts w:ascii="Minion Pro" w:hAnsi="Minion Pro"/>
        </w:rPr>
      </w:pPr>
      <w:r w:rsidRPr="00794E35">
        <w:rPr>
          <w:rStyle w:val="Standard1"/>
          <w:rFonts w:ascii="Minion Pro" w:hAnsi="Minion Pro"/>
        </w:rPr>
        <w:t>insgesamt der unternehmerischen Tätigkeit,</w:t>
      </w:r>
    </w:p>
    <w:p w14:paraId="164FCAA1" w14:textId="71EB833B" w:rsidR="00794E35" w:rsidRPr="00794E35" w:rsidRDefault="00794E35" w:rsidP="00A43B53">
      <w:pPr>
        <w:pStyle w:val="Listenabsatz"/>
        <w:numPr>
          <w:ilvl w:val="0"/>
          <w:numId w:val="2"/>
        </w:numPr>
        <w:spacing w:after="100"/>
        <w:ind w:left="765" w:hanging="198"/>
        <w:contextualSpacing w:val="0"/>
        <w:rPr>
          <w:rStyle w:val="Standard1"/>
          <w:rFonts w:ascii="Minion Pro" w:hAnsi="Minion Pro"/>
        </w:rPr>
      </w:pPr>
      <w:r w:rsidRPr="00794E35">
        <w:rPr>
          <w:rStyle w:val="Standard1"/>
          <w:rFonts w:ascii="Minion Pro" w:hAnsi="Minion Pro"/>
          <w:spacing w:val="-2"/>
        </w:rPr>
        <w:t>entsprechend der tatsächlichen unternehmerischen Verwendung anteilig dem unternehmerischen Bereich</w:t>
      </w:r>
      <w:r w:rsidRPr="00794E35">
        <w:rPr>
          <w:rStyle w:val="Standard1"/>
          <w:rFonts w:ascii="Minion Pro" w:hAnsi="Minion Pro"/>
        </w:rPr>
        <w:t xml:space="preserve"> oder</w:t>
      </w:r>
    </w:p>
    <w:p w14:paraId="0E1D36A4" w14:textId="422498AD" w:rsidR="00794E35" w:rsidRPr="00794E35" w:rsidRDefault="00794E35" w:rsidP="00A43B53">
      <w:pPr>
        <w:pStyle w:val="Listenabsatz"/>
        <w:numPr>
          <w:ilvl w:val="0"/>
          <w:numId w:val="2"/>
        </w:numPr>
        <w:spacing w:after="100"/>
        <w:ind w:left="765" w:hanging="198"/>
        <w:contextualSpacing w:val="0"/>
        <w:rPr>
          <w:rStyle w:val="Standard1"/>
          <w:rFonts w:ascii="Minion Pro" w:hAnsi="Minion Pro"/>
        </w:rPr>
      </w:pPr>
      <w:r w:rsidRPr="00794E35">
        <w:rPr>
          <w:rStyle w:val="Standard1"/>
          <w:rFonts w:ascii="Minion Pro" w:hAnsi="Minion Pro"/>
        </w:rPr>
        <w:t>in vollem Umfang dem nichtunternehmerischen (privaten) Bereich</w:t>
      </w:r>
    </w:p>
    <w:p w14:paraId="11C5F53E" w14:textId="77777777" w:rsidR="00794E35" w:rsidRPr="00794E35" w:rsidRDefault="00794E35" w:rsidP="00A43B53">
      <w:pPr>
        <w:spacing w:after="100"/>
        <w:rPr>
          <w:rStyle w:val="Standard1"/>
          <w:rFonts w:ascii="Minion Pro" w:hAnsi="Minion Pro"/>
        </w:rPr>
      </w:pPr>
      <w:r w:rsidRPr="00794E35">
        <w:rPr>
          <w:rStyle w:val="Standard1"/>
          <w:rFonts w:ascii="Minion Pro" w:hAnsi="Minion Pro"/>
        </w:rPr>
        <w:t xml:space="preserve">zugeordnet werden. Entsprechend der Zuordnung ist ein Vorsteuerabzug in voller Höhe, anteilig oder gar </w:t>
      </w:r>
      <w:r w:rsidRPr="00794E35">
        <w:rPr>
          <w:rStyle w:val="Standard1"/>
          <w:rFonts w:ascii="Minion Pro" w:hAnsi="Minion Pro"/>
          <w:spacing w:val="-2"/>
        </w:rPr>
        <w:t>nicht möglich. Voraussetzung für den Vorsteuerabzug ist allerdings, dass die unternehmerische Verwendung</w:t>
      </w:r>
      <w:r w:rsidRPr="00794E35">
        <w:rPr>
          <w:rStyle w:val="Standard1"/>
          <w:rFonts w:ascii="Minion Pro" w:hAnsi="Minion Pro"/>
        </w:rPr>
        <w:t xml:space="preserve"> mindestens 10 % beträgt.</w:t>
      </w:r>
    </w:p>
    <w:p w14:paraId="725DFFD2" w14:textId="69B59871" w:rsidR="00794E35" w:rsidRPr="00794E35" w:rsidRDefault="00794E35" w:rsidP="00A43B53">
      <w:pPr>
        <w:spacing w:after="100"/>
        <w:rPr>
          <w:rStyle w:val="Standard1"/>
          <w:rFonts w:ascii="Minion Pro" w:hAnsi="Minion Pro"/>
        </w:rPr>
      </w:pPr>
      <w:r w:rsidRPr="00794E35">
        <w:rPr>
          <w:rStyle w:val="Standard1"/>
          <w:rFonts w:ascii="Minion Pro" w:hAnsi="Minion Pro"/>
        </w:rPr>
        <w:t>Die Zuordnungsentscheidung wird regelmäßig durch Geltendmachung des Vorsteuerabzugs getroffen, sie soll „zeitnah“ erfolgen und dokumentiert werden. „Zeitnah“ bedeutet aus Sicht der Finanzverwaltung in der Regel im Rahmen der Umsatzsteuer-Voranmeldung, spätestens in der bis zum 31.07. des Folgejahres über</w:t>
      </w:r>
      <w:r>
        <w:rPr>
          <w:rStyle w:val="Standard1"/>
          <w:rFonts w:ascii="Minion Pro" w:hAnsi="Minion Pro"/>
        </w:rPr>
        <w:softHyphen/>
      </w:r>
      <w:r w:rsidRPr="00794E35">
        <w:rPr>
          <w:rStyle w:val="Standard1"/>
          <w:rFonts w:ascii="Minion Pro" w:hAnsi="Minion Pro"/>
        </w:rPr>
        <w:t>mittelten Umsatzsteuer-Jahreserklärung. Wird die Umsatzsteuer-Jahreserklärung mit dem entsprechenden Vorsteuerabzug erst später übermittelt, ist der Vorsteuerabzug bezüglich des gemischt genutzten Gegen</w:t>
      </w:r>
      <w:r>
        <w:rPr>
          <w:rStyle w:val="Standard1"/>
          <w:rFonts w:ascii="Minion Pro" w:hAnsi="Minion Pro"/>
        </w:rPr>
        <w:softHyphen/>
      </w:r>
      <w:r w:rsidRPr="00794E35">
        <w:rPr>
          <w:rStyle w:val="Standard1"/>
          <w:rFonts w:ascii="Minion Pro" w:hAnsi="Minion Pro"/>
        </w:rPr>
        <w:t>stands ausgeschlossen,</w:t>
      </w:r>
      <w:r>
        <w:rPr>
          <w:rStyle w:val="Funotenzeichen"/>
        </w:rPr>
        <w:footnoteReference w:id="7"/>
      </w:r>
      <w:r w:rsidRPr="00794E35">
        <w:rPr>
          <w:rStyle w:val="Standard1"/>
          <w:rFonts w:ascii="Minion Pro" w:hAnsi="Minion Pro"/>
        </w:rPr>
        <w:t xml:space="preserve"> weil die Zuordnung zum Unternehmensvermögen nicht mehr zeitnah erfolgt ist.</w:t>
      </w:r>
    </w:p>
    <w:p w14:paraId="2EC60DA5" w14:textId="3524C965" w:rsidR="006D6C03" w:rsidRPr="00530E64" w:rsidRDefault="00794E35" w:rsidP="00A43B53">
      <w:pPr>
        <w:spacing w:after="100"/>
      </w:pPr>
      <w:r w:rsidRPr="00794E35">
        <w:rPr>
          <w:rStyle w:val="Standard1"/>
          <w:rFonts w:ascii="Minion Pro" w:hAnsi="Minion Pro"/>
        </w:rPr>
        <w:t>Der Bundesfinanzho</w:t>
      </w:r>
      <w:r w:rsidRPr="00794E35">
        <w:rPr>
          <w:rStyle w:val="Standard1"/>
          <w:rFonts w:ascii="Minion Pro" w:hAnsi="Minion Pro"/>
          <w:spacing w:val="30"/>
        </w:rPr>
        <w:t>f</w:t>
      </w:r>
      <w:r>
        <w:rPr>
          <w:rStyle w:val="Funotenzeichen"/>
        </w:rPr>
        <w:footnoteReference w:id="8"/>
      </w:r>
      <w:r w:rsidRPr="00794E35">
        <w:rPr>
          <w:rStyle w:val="Standard1"/>
          <w:rFonts w:ascii="Minion Pro" w:hAnsi="Minion Pro"/>
        </w:rPr>
        <w:t xml:space="preserve"> lässt vom Europäischen Gerichtshof allerdings noch prüfen, ob der Verlust des Vor</w:t>
      </w:r>
      <w:r>
        <w:rPr>
          <w:rStyle w:val="Standard1"/>
          <w:rFonts w:ascii="Minion Pro" w:hAnsi="Minion Pro"/>
        </w:rPr>
        <w:softHyphen/>
      </w:r>
      <w:r w:rsidRPr="00794E35">
        <w:rPr>
          <w:rStyle w:val="Standard1"/>
          <w:rFonts w:ascii="Minion Pro" w:hAnsi="Minion Pro"/>
        </w:rPr>
        <w:t>steuerabzugs bei Überschreiten der Zuordnungsfrist gegen EU-Recht verstößt.</w:t>
      </w:r>
    </w:p>
    <w:p w14:paraId="7F064C8D" w14:textId="1B04CBAF" w:rsidR="006D6C03" w:rsidRDefault="00E51350" w:rsidP="00794E35">
      <w:pPr>
        <w:pStyle w:val="berschrift1"/>
      </w:pPr>
      <w:r>
        <w:rPr>
          <w:noProof/>
          <w:sz w:val="20"/>
        </w:rPr>
        <mc:AlternateContent>
          <mc:Choice Requires="wps">
            <w:drawing>
              <wp:anchor distT="0" distB="0" distL="114300" distR="114300" simplePos="0" relativeHeight="251657728" behindDoc="1" locked="0" layoutInCell="1" allowOverlap="0" wp14:anchorId="571D8B34" wp14:editId="3C488E47">
                <wp:simplePos x="0" y="0"/>
                <wp:positionH relativeFrom="page">
                  <wp:posOffset>622935</wp:posOffset>
                </wp:positionH>
                <wp:positionV relativeFrom="paragraph">
                  <wp:posOffset>226695</wp:posOffset>
                </wp:positionV>
                <wp:extent cx="6120000" cy="360000"/>
                <wp:effectExtent l="0" t="0" r="0" b="2540"/>
                <wp:wrapNone/>
                <wp:docPr id="1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6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0B8E4"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8B34" id="Text Box 128" o:spid="_x0000_s1032" type="#_x0000_t202" style="position:absolute;left:0;text-align:left;margin-left:49.05pt;margin-top:17.85pt;width:481.9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" o:allowoverlap="f" fillcolor="silver" stroked="f">
                <v:textbox>
                  <w:txbxContent>
                    <w:p w14:paraId="3780B8E4" w14:textId="77777777" w:rsidR="00E11384" w:rsidRDefault="00E11384">
                      <w:pPr>
                        <w:rPr>
                          <w:color w:val="999999"/>
                        </w:rPr>
                      </w:pPr>
                    </w:p>
                  </w:txbxContent>
                </v:textbox>
                <w10:wrap anchorx="page"/>
              </v:shape>
            </w:pict>
          </mc:Fallback>
        </mc:AlternateContent>
      </w:r>
      <w:r w:rsidR="006D6C03">
        <w:tab/>
      </w:r>
      <w:r w:rsidR="006D6C03">
        <w:rPr>
          <w:rStyle w:val="Ueber1Zahl"/>
        </w:rPr>
        <w:t>3</w:t>
      </w:r>
      <w:r w:rsidR="006D6C03">
        <w:tab/>
      </w:r>
      <w:r w:rsidR="00794E35" w:rsidRPr="00794E35">
        <w:t>Erbschaftsteuerbefreiung  für  „Familienheim“:  „Unverzügliche“  Selbstnutzung  durch  Erben  bei  umfangreichen  Reparaturarbeiten</w:t>
      </w:r>
    </w:p>
    <w:p w14:paraId="179EA39D" w14:textId="7AE5C9CE" w:rsidR="00794E35" w:rsidRPr="00794E35" w:rsidRDefault="00794E35" w:rsidP="00A43B53">
      <w:pPr>
        <w:spacing w:after="100"/>
        <w:rPr>
          <w:rStyle w:val="Standard1"/>
          <w:rFonts w:ascii="Minion Pro" w:hAnsi="Minion Pro"/>
        </w:rPr>
      </w:pPr>
      <w:r w:rsidRPr="00794E35">
        <w:rPr>
          <w:rStyle w:val="Standard1"/>
          <w:rFonts w:ascii="Minion Pro" w:hAnsi="Minion Pro"/>
        </w:rPr>
        <w:t>Die Vererbung einer vom Erblasser selbst genutzten Immobilie (Wohnung, Einfamilienhaus) an den über</w:t>
      </w:r>
      <w:r>
        <w:rPr>
          <w:rStyle w:val="Standard1"/>
          <w:rFonts w:ascii="Minion Pro" w:hAnsi="Minion Pro"/>
        </w:rPr>
        <w:softHyphen/>
      </w:r>
      <w:r w:rsidRPr="00794E35">
        <w:rPr>
          <w:rStyle w:val="Standard1"/>
          <w:rFonts w:ascii="Minion Pro" w:hAnsi="Minion Pro"/>
        </w:rPr>
        <w:t>lebenden Ehepartner oder an Kinder steht steuerlich unter einem besonderen Schutz. Der Erwerb bleibt regelmäßig erbschaftsteuerfrei, wenn auch der Erbe das sog. Familienheim nach dem Tod des Erblassers für mindestens 10 Jahre selbst bewohnt.</w:t>
      </w:r>
    </w:p>
    <w:p w14:paraId="3BF78538" w14:textId="196C3400" w:rsidR="00794E35" w:rsidRPr="00794E35" w:rsidRDefault="00794E35" w:rsidP="00A43B53">
      <w:pPr>
        <w:spacing w:after="100"/>
        <w:rPr>
          <w:rStyle w:val="Standard1"/>
          <w:rFonts w:ascii="Minion Pro" w:hAnsi="Minion Pro"/>
        </w:rPr>
      </w:pPr>
      <w:r w:rsidRPr="00794E35">
        <w:rPr>
          <w:rStyle w:val="Standard1"/>
          <w:rFonts w:ascii="Minion Pro" w:hAnsi="Minion Pro"/>
        </w:rPr>
        <w:t>Problematisch kann in diesem Zusammenhang sein, wenn der Erbe (z.</w:t>
      </w:r>
      <w:r>
        <w:rPr>
          <w:rStyle w:val="Standard1"/>
          <w:rFonts w:ascii="Minion Pro" w:hAnsi="Minion Pro"/>
        </w:rPr>
        <w:t> </w:t>
      </w:r>
      <w:r w:rsidRPr="00794E35">
        <w:rPr>
          <w:rStyle w:val="Standard1"/>
          <w:rFonts w:ascii="Minion Pro" w:hAnsi="Minion Pro"/>
        </w:rPr>
        <w:t>B. Tochter oder Sohn) die geerbte Wohnung umfangreich renovieren bzw. sanieren muss, bevor er tatsächlich in das Familienheim einziehen kann. Das Gesetz schreibt hier vor, dass die Immobilie beim Erwerber „unverzüglich zur Selbstnutzung zu eigenen Wohnzwecken bestimmt“ sein muss.</w:t>
      </w:r>
      <w:r>
        <w:rPr>
          <w:rStyle w:val="Funotenzeichen"/>
        </w:rPr>
        <w:footnoteReference w:id="9"/>
      </w:r>
    </w:p>
    <w:p w14:paraId="21BE7E40" w14:textId="736BDDC0" w:rsidR="00794E35" w:rsidRPr="00794E35" w:rsidRDefault="00794E35" w:rsidP="00A43B53">
      <w:pPr>
        <w:spacing w:after="100"/>
        <w:rPr>
          <w:rStyle w:val="Standard1"/>
          <w:rFonts w:ascii="Minion Pro" w:hAnsi="Minion Pro"/>
        </w:rPr>
      </w:pPr>
      <w:r w:rsidRPr="00794E35">
        <w:rPr>
          <w:rStyle w:val="Standard1"/>
          <w:rFonts w:ascii="Minion Pro" w:hAnsi="Minion Pro"/>
        </w:rPr>
        <w:t xml:space="preserve">Eine Unverzüglichkeit liegt regelmäßig bei einem Einzug innerhalb von </w:t>
      </w:r>
      <w:r w:rsidRPr="00794E35">
        <w:rPr>
          <w:rStyle w:val="Standard1"/>
          <w:rFonts w:ascii="Minion Pro" w:hAnsi="Minion Pro"/>
          <w:b/>
          <w:bCs/>
        </w:rPr>
        <w:t>6 Monaten</w:t>
      </w:r>
      <w:r w:rsidRPr="00794E35">
        <w:rPr>
          <w:rStyle w:val="Standard1"/>
          <w:rFonts w:ascii="Minion Pro" w:hAnsi="Minion Pro"/>
        </w:rPr>
        <w:t xml:space="preserve"> nach dem Erbfall vor. Nach Ablauf dieses Zeitraums muss der Erwerber für die Inanspruchnahme der Begünstigung glaubhaft machen, zu welchem Zeitpunkt er sich zur Selbstnutzung als Familienheim entschlossen hat, aus welchen </w:t>
      </w:r>
      <w:r w:rsidRPr="00794E35">
        <w:rPr>
          <w:rStyle w:val="Standard1"/>
          <w:rFonts w:ascii="Minion Pro" w:hAnsi="Minion Pro"/>
          <w:spacing w:val="-2"/>
        </w:rPr>
        <w:t>Gründen ein Einzug nicht früher möglich war und dass er die Verzögerung nicht zu vertreten hat. Ein Über</w:t>
      </w:r>
      <w:r w:rsidRPr="00794E35">
        <w:rPr>
          <w:rStyle w:val="Standard1"/>
          <w:rFonts w:ascii="Minion Pro" w:hAnsi="Minion Pro"/>
          <w:spacing w:val="-2"/>
        </w:rPr>
        <w:softHyphen/>
      </w:r>
      <w:r w:rsidRPr="00A43B53">
        <w:rPr>
          <w:rStyle w:val="Standard1"/>
          <w:rFonts w:ascii="Minion Pro" w:hAnsi="Minion Pro"/>
          <w:spacing w:val="-2"/>
        </w:rPr>
        <w:t>schreiten des 6-Monats-Zeitraums aufgrund von Renovierungsarbeiten an der Wohnung kann nur unter be</w:t>
      </w:r>
      <w:r w:rsidR="00A43B53" w:rsidRPr="00A43B53">
        <w:rPr>
          <w:rStyle w:val="Standard1"/>
          <w:rFonts w:ascii="Minion Pro" w:hAnsi="Minion Pro"/>
          <w:spacing w:val="-2"/>
        </w:rPr>
        <w:softHyphen/>
      </w:r>
      <w:r w:rsidRPr="00A43B53">
        <w:rPr>
          <w:rStyle w:val="Standard1"/>
          <w:rFonts w:ascii="Minion Pro" w:hAnsi="Minion Pro"/>
          <w:spacing w:val="-2"/>
        </w:rPr>
        <w:t>sonderen</w:t>
      </w:r>
      <w:r w:rsidRPr="00794E35">
        <w:rPr>
          <w:rStyle w:val="Standard1"/>
          <w:rFonts w:ascii="Minion Pro" w:hAnsi="Minion Pro"/>
        </w:rPr>
        <w:t xml:space="preserve"> Voraussetzungen unschädlich sein, wenn z.</w:t>
      </w:r>
      <w:r w:rsidR="00A43B53">
        <w:rPr>
          <w:rStyle w:val="Standard1"/>
          <w:rFonts w:ascii="Minion Pro" w:hAnsi="Minion Pro"/>
        </w:rPr>
        <w:t> </w:t>
      </w:r>
      <w:r w:rsidRPr="00794E35">
        <w:rPr>
          <w:rStyle w:val="Standard1"/>
          <w:rFonts w:ascii="Minion Pro" w:hAnsi="Minion Pro"/>
        </w:rPr>
        <w:t>B. ein gravierender Mangel vorliegt, der erst während der Renovierung entdeckt wird.</w:t>
      </w:r>
      <w:r>
        <w:rPr>
          <w:rStyle w:val="Funotenzeichen"/>
        </w:rPr>
        <w:footnoteReference w:id="10"/>
      </w:r>
    </w:p>
    <w:p w14:paraId="23FE2CFA" w14:textId="0C26F601" w:rsidR="00794E35" w:rsidRPr="00794E35" w:rsidRDefault="00794E35" w:rsidP="00F52E9F">
      <w:pPr>
        <w:spacing w:after="50"/>
        <w:rPr>
          <w:rStyle w:val="Standard1"/>
          <w:rFonts w:ascii="Minion Pro" w:hAnsi="Minion Pro"/>
        </w:rPr>
      </w:pPr>
      <w:r w:rsidRPr="00794E35">
        <w:rPr>
          <w:rStyle w:val="Standard1"/>
          <w:rFonts w:ascii="Minion Pro" w:hAnsi="Minion Pro"/>
        </w:rPr>
        <w:t>Das Finanzgericht Münster</w:t>
      </w:r>
      <w:r>
        <w:rPr>
          <w:rStyle w:val="Funotenzeichen"/>
        </w:rPr>
        <w:footnoteReference w:id="11"/>
      </w:r>
      <w:r w:rsidRPr="00794E35">
        <w:rPr>
          <w:rStyle w:val="Standard1"/>
          <w:rFonts w:ascii="Minion Pro" w:hAnsi="Minion Pro"/>
        </w:rPr>
        <w:t xml:space="preserve"> hat dazu klargestellt, dass die Nutzung zu eigenen Wohnzwecken </w:t>
      </w:r>
      <w:r w:rsidRPr="00794E35">
        <w:rPr>
          <w:rStyle w:val="Standard1"/>
          <w:rFonts w:ascii="Minion Pro" w:hAnsi="Minion Pro"/>
          <w:b/>
          <w:bCs/>
        </w:rPr>
        <w:t>tatsächlich</w:t>
      </w:r>
      <w:r w:rsidRPr="00794E35">
        <w:rPr>
          <w:rStyle w:val="Standard1"/>
          <w:rFonts w:ascii="Minion Pro" w:hAnsi="Minion Pro"/>
        </w:rPr>
        <w:t xml:space="preserve"> </w:t>
      </w:r>
      <w:r w:rsidRPr="00A43B53">
        <w:rPr>
          <w:rStyle w:val="Standard1"/>
          <w:rFonts w:ascii="Minion Pro" w:hAnsi="Minion Pro"/>
          <w:spacing w:val="-2"/>
        </w:rPr>
        <w:t>umgesetzt werden muss; eine bloße Widmung zur Selbstnutzung sei nicht ausreichend. Die Tatsache, dass im</w:t>
      </w:r>
      <w:r w:rsidRPr="00794E35">
        <w:rPr>
          <w:rStyle w:val="Standard1"/>
          <w:rFonts w:ascii="Minion Pro" w:hAnsi="Minion Pro"/>
        </w:rPr>
        <w:t xml:space="preserve"> Streitfall der Sohn des Erblassers frühzeitig einzelne Räume der neben seiner Wohnung liegenden geerbten Doppelhaushälfte zu Lagerzwecken während der Renovierungsarbeiten nutzte, erkannte das Gericht nicht </w:t>
      </w:r>
      <w:r w:rsidRPr="00794E35">
        <w:rPr>
          <w:rStyle w:val="Standard1"/>
          <w:rFonts w:ascii="Minion Pro" w:hAnsi="Minion Pro"/>
        </w:rPr>
        <w:lastRenderedPageBreak/>
        <w:t>als tatsächlichen Einzug an. Auch eine zweifellos vorhandene Absicht der Selbstnutzung (wie im Streitfall sogar vom Gericht festgestellt) könne die tatsächliche Nutzung nicht ersetzen.</w:t>
      </w:r>
    </w:p>
    <w:p w14:paraId="6910307C" w14:textId="77777777" w:rsidR="00794E35" w:rsidRPr="00794E35" w:rsidRDefault="00794E35" w:rsidP="00F52E9F">
      <w:pPr>
        <w:spacing w:after="50"/>
        <w:rPr>
          <w:rStyle w:val="Standard1"/>
          <w:rFonts w:ascii="Minion Pro" w:hAnsi="Minion Pro"/>
        </w:rPr>
      </w:pPr>
      <w:r w:rsidRPr="00794E35">
        <w:rPr>
          <w:rStyle w:val="Standard1"/>
          <w:rFonts w:ascii="Minion Pro" w:hAnsi="Minion Pro"/>
        </w:rPr>
        <w:t xml:space="preserve">Zur Frage der im Urteilsfall fast 3 Jahre andauernden Renovierungs-/Sanierungsmaßnahmen – hier wurden </w:t>
      </w:r>
      <w:r w:rsidRPr="00C93D03">
        <w:rPr>
          <w:rStyle w:val="Standard1"/>
          <w:rFonts w:ascii="Minion Pro" w:hAnsi="Minion Pro"/>
          <w:spacing w:val="-2"/>
        </w:rPr>
        <w:t>auch Trocknungsarbeiten vorgenommen – entschied das Finanzgericht, dass dem Erben anzulasten sei, dass</w:t>
      </w:r>
      <w:r w:rsidRPr="00794E35">
        <w:rPr>
          <w:rStyle w:val="Standard1"/>
          <w:rFonts w:ascii="Minion Pro" w:hAnsi="Minion Pro"/>
        </w:rPr>
        <w:t xml:space="preserve"> er „keine schnellere Möglichkeit“ erfragt und angewandt habe, das Haus trockenzulegen, und im Übrigen die angespannte Auftragslage des beauftragten Unternehmers „hingenommen“ habe. Das Gericht kam zu dem Ergebnis, dass der Erwerber nicht darlegen konnte, dass er die Verzögerung nicht zu vertreten habe, und lehnte eine Steuerbefreiung für das Familienheim ab.</w:t>
      </w:r>
    </w:p>
    <w:p w14:paraId="2D20F1B2" w14:textId="73B93328" w:rsidR="00794E35" w:rsidRPr="00794E35" w:rsidRDefault="00794E35" w:rsidP="00F52E9F">
      <w:pPr>
        <w:spacing w:after="50"/>
        <w:rPr>
          <w:rStyle w:val="Standard1"/>
          <w:rFonts w:ascii="Minion Pro" w:hAnsi="Minion Pro"/>
        </w:rPr>
      </w:pPr>
      <w:r w:rsidRPr="00794E35">
        <w:rPr>
          <w:rStyle w:val="Standard1"/>
          <w:rFonts w:ascii="Minion Pro" w:hAnsi="Minion Pro"/>
        </w:rPr>
        <w:t>Nach diesem Urteil dürfte es – insbesondere bei einem größeren zeitlichen Abstand zwischen Erbfall und Einzug – schwierig werden, den Nachweis zu führen, dass die Ursache bei einem infolge von Renovierungs</w:t>
      </w:r>
      <w:r w:rsidR="00C93D03">
        <w:rPr>
          <w:rStyle w:val="Standard1"/>
          <w:rFonts w:ascii="Minion Pro" w:hAnsi="Minion Pro"/>
        </w:rPr>
        <w:softHyphen/>
      </w:r>
      <w:r w:rsidRPr="00794E35">
        <w:rPr>
          <w:rStyle w:val="Standard1"/>
          <w:rFonts w:ascii="Minion Pro" w:hAnsi="Minion Pro"/>
        </w:rPr>
        <w:t>arbeiten verzögerten Einzug in die Wohnung nicht im Einflussbereich des Erwerbers liegt. Gegen das Urteil des Finanzgerichts Münster ist Revision</w:t>
      </w:r>
      <w:r w:rsidR="00C93D03">
        <w:rPr>
          <w:rStyle w:val="Funotenzeichen"/>
        </w:rPr>
        <w:footnoteReference w:id="12"/>
      </w:r>
      <w:r w:rsidRPr="00794E35">
        <w:rPr>
          <w:rStyle w:val="Standard1"/>
          <w:rFonts w:ascii="Minion Pro" w:hAnsi="Minion Pro"/>
        </w:rPr>
        <w:t xml:space="preserve"> eingelegt worden; es bleibt abzuwarten, ob der Bundesfinanzhof die hohen Anforderungen bestätigen wird.</w:t>
      </w:r>
    </w:p>
    <w:p w14:paraId="389D71A5" w14:textId="63E4FBAD" w:rsidR="000B4436" w:rsidRPr="00AA48FF" w:rsidRDefault="00794E35" w:rsidP="00F52E9F">
      <w:pPr>
        <w:spacing w:after="50"/>
        <w:rPr>
          <w:rStyle w:val="Standard1"/>
          <w:rFonts w:ascii="Minion Pro" w:hAnsi="Minion Pro"/>
        </w:rPr>
      </w:pPr>
      <w:r w:rsidRPr="00794E35">
        <w:rPr>
          <w:rStyle w:val="Standard1"/>
          <w:rFonts w:ascii="Minion Pro" w:hAnsi="Minion Pro"/>
        </w:rPr>
        <w:t>Um die Steuerbefreiung zu erhalten, ist zu empfehlen, die unternommenen Renovierungsschritte – von der Planung bis zum Beginn sowie den Verlauf der Baumaßnahmen – möglichst sorgfältig zu dokumentieren und so ggf. glaubhaft zu machen, dass die Verzögerungen nicht selbst zu vertreten sind.</w:t>
      </w:r>
    </w:p>
    <w:p w14:paraId="0B1D9EB0" w14:textId="496DAA46" w:rsidR="006D6C03" w:rsidRDefault="00E51350" w:rsidP="00C93D03">
      <w:pPr>
        <w:pStyle w:val="berschrift1"/>
      </w:pPr>
      <w:r>
        <w:rPr>
          <w:noProof/>
          <w:sz w:val="20"/>
        </w:rPr>
        <mc:AlternateContent>
          <mc:Choice Requires="wps">
            <w:drawing>
              <wp:anchor distT="0" distB="0" distL="114300" distR="114300" simplePos="0" relativeHeight="251658752" behindDoc="1" locked="0" layoutInCell="1" allowOverlap="0" wp14:anchorId="713E1BA6" wp14:editId="468713DB">
                <wp:simplePos x="0" y="0"/>
                <wp:positionH relativeFrom="page">
                  <wp:posOffset>622935</wp:posOffset>
                </wp:positionH>
                <wp:positionV relativeFrom="paragraph">
                  <wp:posOffset>269875</wp:posOffset>
                </wp:positionV>
                <wp:extent cx="6120000" cy="180000"/>
                <wp:effectExtent l="0" t="0" r="0" b="0"/>
                <wp:wrapNone/>
                <wp:docPr id="1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B5DCB"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E1BA6" id="Text Box 166" o:spid="_x0000_s1033" type="#_x0000_t202" style="position:absolute;left:0;text-align:left;margin-left:49.05pt;margin-top:21.25pt;width:481.9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" o:allowoverlap="f" fillcolor="silver" stroked="f">
                <v:textbox>
                  <w:txbxContent>
                    <w:p w14:paraId="59BB5DCB" w14:textId="77777777" w:rsidR="00E11384" w:rsidRDefault="00E11384">
                      <w:pPr>
                        <w:rPr>
                          <w:color w:val="999999"/>
                        </w:rPr>
                      </w:pPr>
                    </w:p>
                  </w:txbxContent>
                </v:textbox>
                <w10:wrap anchorx="page"/>
              </v:shape>
            </w:pict>
          </mc:Fallback>
        </mc:AlternateContent>
      </w:r>
      <w:r w:rsidR="006D6C03">
        <w:rPr>
          <w:rStyle w:val="Ueber1Zahl"/>
        </w:rPr>
        <w:tab/>
        <w:t>4</w:t>
      </w:r>
      <w:r w:rsidR="006D6C03">
        <w:tab/>
      </w:r>
      <w:r w:rsidR="00C93D03" w:rsidRPr="00C93D03">
        <w:t>Ordnungsmäßige  Rechnungen  –  Anforderungen  an  die  Leistungsbeschreibung</w:t>
      </w:r>
    </w:p>
    <w:p w14:paraId="016AB15B" w14:textId="008BDDE4" w:rsidR="00C93D03" w:rsidRPr="00C93D03" w:rsidRDefault="00C93D03" w:rsidP="00F52E9F">
      <w:pPr>
        <w:spacing w:after="50"/>
        <w:rPr>
          <w:rStyle w:val="Standard1"/>
          <w:rFonts w:ascii="Minion Pro" w:hAnsi="Minion Pro"/>
        </w:rPr>
      </w:pPr>
      <w:r w:rsidRPr="00C93D03">
        <w:rPr>
          <w:rStyle w:val="Standard1"/>
          <w:rFonts w:ascii="Minion Pro" w:hAnsi="Minion Pro"/>
        </w:rPr>
        <w:t>Eine zum Vorsteuerabzug berechtigende Rechnung setzt u.</w:t>
      </w:r>
      <w:r>
        <w:rPr>
          <w:rStyle w:val="Standard1"/>
          <w:rFonts w:ascii="Minion Pro" w:hAnsi="Minion Pro"/>
        </w:rPr>
        <w:t> </w:t>
      </w:r>
      <w:r w:rsidRPr="00C93D03">
        <w:rPr>
          <w:rStyle w:val="Standard1"/>
          <w:rFonts w:ascii="Minion Pro" w:hAnsi="Minion Pro"/>
        </w:rPr>
        <w:t xml:space="preserve">a. Angaben zu Menge und Art (handelsübliche Bezeichnung) der gelieferten Gegenstände bzw. zum Umfang und Art der </w:t>
      </w:r>
      <w:r w:rsidRPr="00C93D03">
        <w:rPr>
          <w:rStyle w:val="Standard1"/>
          <w:rFonts w:ascii="Minion Pro" w:hAnsi="Minion Pro"/>
          <w:b/>
          <w:bCs/>
        </w:rPr>
        <w:t>sonstigen Leistung</w:t>
      </w:r>
      <w:r w:rsidRPr="00C93D03">
        <w:rPr>
          <w:rStyle w:val="Standard1"/>
          <w:rFonts w:ascii="Minion Pro" w:hAnsi="Minion Pro"/>
        </w:rPr>
        <w:t xml:space="preserve"> voraus.</w:t>
      </w:r>
      <w:r>
        <w:rPr>
          <w:rStyle w:val="Funotenzeichen"/>
        </w:rPr>
        <w:footnoteReference w:id="13"/>
      </w:r>
      <w:r w:rsidRPr="00C93D03">
        <w:rPr>
          <w:rStyle w:val="Standard1"/>
          <w:rFonts w:ascii="Minion Pro" w:hAnsi="Minion Pro"/>
        </w:rPr>
        <w:t xml:space="preserve"> Für </w:t>
      </w:r>
      <w:r w:rsidRPr="00C93D03">
        <w:rPr>
          <w:rStyle w:val="Standard1"/>
          <w:rFonts w:ascii="Minion Pro" w:hAnsi="Minion Pro"/>
          <w:spacing w:val="-2"/>
        </w:rPr>
        <w:t>eine ausreichende Leistungsbeschreibung sind Art und Umfang so zu präzisieren, dass sie eine Identifizierung</w:t>
      </w:r>
      <w:r w:rsidRPr="00C93D03">
        <w:rPr>
          <w:rStyle w:val="Standard1"/>
          <w:rFonts w:ascii="Minion Pro" w:hAnsi="Minion Pro"/>
        </w:rPr>
        <w:t xml:space="preserve"> der Leistung ermöglichen und dadurch ggf. eine mehrfache Abrechnung ausschließen. Eine erschöpfende Beschreibung wird nicht vorausgesetzt. In der Rechnung kann auch auf andere genau bezeichnete Doku</w:t>
      </w:r>
      <w:r>
        <w:rPr>
          <w:rStyle w:val="Standard1"/>
          <w:rFonts w:ascii="Minion Pro" w:hAnsi="Minion Pro"/>
        </w:rPr>
        <w:softHyphen/>
      </w:r>
      <w:r w:rsidRPr="00C93D03">
        <w:rPr>
          <w:rStyle w:val="Standard1"/>
          <w:rFonts w:ascii="Minion Pro" w:hAnsi="Minion Pro"/>
        </w:rPr>
        <w:t>mente (z.</w:t>
      </w:r>
      <w:r>
        <w:rPr>
          <w:rStyle w:val="Standard1"/>
          <w:rFonts w:ascii="Minion Pro" w:hAnsi="Minion Pro"/>
        </w:rPr>
        <w:t> </w:t>
      </w:r>
      <w:r w:rsidRPr="00C93D03">
        <w:rPr>
          <w:rStyle w:val="Standard1"/>
          <w:rFonts w:ascii="Minion Pro" w:hAnsi="Minion Pro"/>
        </w:rPr>
        <w:t>B. Auftragsbestätigung) verwiesen werden, aus denen sich die konkrete Leistungsbeschreibung ergibt.</w:t>
      </w:r>
      <w:r>
        <w:rPr>
          <w:rStyle w:val="Funotenzeichen"/>
        </w:rPr>
        <w:footnoteReference w:id="14"/>
      </w:r>
    </w:p>
    <w:p w14:paraId="75229DFD" w14:textId="10CC3325" w:rsidR="00C93D03" w:rsidRPr="00C93D03" w:rsidRDefault="00C93D03" w:rsidP="00F52E9F">
      <w:pPr>
        <w:spacing w:after="50"/>
        <w:rPr>
          <w:rStyle w:val="Standard1"/>
          <w:rFonts w:ascii="Minion Pro" w:hAnsi="Minion Pro"/>
        </w:rPr>
      </w:pPr>
      <w:r w:rsidRPr="00C93D03">
        <w:rPr>
          <w:rStyle w:val="Standard1"/>
          <w:rFonts w:ascii="Minion Pro" w:hAnsi="Minion Pro"/>
        </w:rPr>
        <w:t xml:space="preserve">Eine </w:t>
      </w:r>
      <w:r w:rsidRPr="00C93D03">
        <w:rPr>
          <w:rStyle w:val="Standard1"/>
          <w:rFonts w:ascii="Minion Pro" w:hAnsi="Minion Pro"/>
          <w:b/>
          <w:bCs/>
        </w:rPr>
        <w:t>allgemeine Beschreibung</w:t>
      </w:r>
      <w:r w:rsidRPr="00C93D03">
        <w:rPr>
          <w:rStyle w:val="Standard1"/>
          <w:rFonts w:ascii="Minion Pro" w:hAnsi="Minion Pro"/>
        </w:rPr>
        <w:t xml:space="preserve"> der erbrachten Leistungen für sich allein reicht in der Regel nicht aus. Der Europäische Gerichtsho</w:t>
      </w:r>
      <w:r w:rsidRPr="00C93D03">
        <w:rPr>
          <w:rStyle w:val="Standard1"/>
          <w:rFonts w:ascii="Minion Pro" w:hAnsi="Minion Pro"/>
          <w:spacing w:val="30"/>
        </w:rPr>
        <w:t>f</w:t>
      </w:r>
      <w:r>
        <w:rPr>
          <w:rStyle w:val="Funotenzeichen"/>
        </w:rPr>
        <w:footnoteReference w:id="15"/>
      </w:r>
      <w:r w:rsidRPr="00C93D03">
        <w:rPr>
          <w:rStyle w:val="Standard1"/>
          <w:rFonts w:ascii="Minion Pro" w:hAnsi="Minion Pro"/>
        </w:rPr>
        <w:t xml:space="preserve"> hat u.</w:t>
      </w:r>
      <w:r>
        <w:rPr>
          <w:rStyle w:val="Standard1"/>
          <w:rFonts w:ascii="Minion Pro" w:hAnsi="Minion Pro"/>
        </w:rPr>
        <w:t> </w:t>
      </w:r>
      <w:r w:rsidRPr="00C93D03">
        <w:rPr>
          <w:rStyle w:val="Standard1"/>
          <w:rFonts w:ascii="Minion Pro" w:hAnsi="Minion Pro"/>
        </w:rPr>
        <w:t>a. entschieden, dass die Bezeichnung „juristische Dienstleistungen“ ein zu breites Spektrum umfasse. Bereits zuvor hat der Bundesfinanzho</w:t>
      </w:r>
      <w:r w:rsidRPr="00AB2713">
        <w:rPr>
          <w:rStyle w:val="Standard1"/>
          <w:rFonts w:ascii="Minion Pro" w:hAnsi="Minion Pro"/>
          <w:spacing w:val="30"/>
        </w:rPr>
        <w:t>f</w:t>
      </w:r>
      <w:r>
        <w:rPr>
          <w:rStyle w:val="Funotenzeichen"/>
        </w:rPr>
        <w:footnoteReference w:id="16"/>
      </w:r>
      <w:r w:rsidRPr="00C93D03">
        <w:rPr>
          <w:rStyle w:val="Standard1"/>
          <w:rFonts w:ascii="Minion Pro" w:hAnsi="Minion Pro"/>
        </w:rPr>
        <w:t xml:space="preserve"> entschieden, dass allgemeine Bezeich</w:t>
      </w:r>
      <w:r>
        <w:rPr>
          <w:rStyle w:val="Standard1"/>
          <w:rFonts w:ascii="Minion Pro" w:hAnsi="Minion Pro"/>
        </w:rPr>
        <w:softHyphen/>
      </w:r>
      <w:r w:rsidRPr="00C93D03">
        <w:rPr>
          <w:rStyle w:val="Standard1"/>
          <w:rFonts w:ascii="Minion Pro" w:hAnsi="Minion Pro"/>
        </w:rPr>
        <w:t xml:space="preserve">nungen wie „Trockenbauarbeiten“, „Fliesenarbeiten“ und „Außenputzarbeiten“ </w:t>
      </w:r>
      <w:r w:rsidRPr="00C93D03">
        <w:rPr>
          <w:rStyle w:val="Standard1"/>
          <w:rFonts w:ascii="Minion Pro" w:hAnsi="Minion Pro"/>
          <w:b/>
          <w:bCs/>
        </w:rPr>
        <w:t>nicht</w:t>
      </w:r>
      <w:r w:rsidRPr="00C93D03">
        <w:rPr>
          <w:rStyle w:val="Standard1"/>
          <w:rFonts w:ascii="Minion Pro" w:hAnsi="Minion Pro"/>
        </w:rPr>
        <w:t xml:space="preserve"> hinreichend konkret genug seien.</w:t>
      </w:r>
    </w:p>
    <w:p w14:paraId="4C13DA03" w14:textId="1DE372CD" w:rsidR="00C93D03" w:rsidRPr="00C93D03" w:rsidRDefault="00C93D03" w:rsidP="00F52E9F">
      <w:pPr>
        <w:spacing w:after="50"/>
        <w:rPr>
          <w:rStyle w:val="Standard1"/>
          <w:rFonts w:ascii="Minion Pro" w:hAnsi="Minion Pro"/>
        </w:rPr>
      </w:pPr>
      <w:r w:rsidRPr="00AB2713">
        <w:rPr>
          <w:rStyle w:val="Standard1"/>
          <w:rFonts w:ascii="Minion Pro" w:hAnsi="Minion Pro"/>
          <w:spacing w:val="-2"/>
        </w:rPr>
        <w:t>In einer aktuellen Entscheidung hat der Bundesfinanzho</w:t>
      </w:r>
      <w:r w:rsidRPr="00AB2713">
        <w:rPr>
          <w:rStyle w:val="Standard1"/>
          <w:rFonts w:ascii="Minion Pro" w:hAnsi="Minion Pro"/>
          <w:spacing w:val="30"/>
        </w:rPr>
        <w:t>f</w:t>
      </w:r>
      <w:r w:rsidRPr="00AB2713">
        <w:rPr>
          <w:rStyle w:val="Funotenzeichen"/>
          <w:spacing w:val="-2"/>
        </w:rPr>
        <w:footnoteReference w:id="17"/>
      </w:r>
      <w:r w:rsidRPr="00AB2713">
        <w:rPr>
          <w:rStyle w:val="Standard1"/>
          <w:rFonts w:ascii="Minion Pro" w:hAnsi="Minion Pro"/>
          <w:spacing w:val="-2"/>
        </w:rPr>
        <w:t xml:space="preserve"> seine Rechtsprechung hinsichtlich der Leistungs</w:t>
      </w:r>
      <w:r w:rsidR="00AB2713" w:rsidRPr="00AB2713">
        <w:rPr>
          <w:rStyle w:val="Standard1"/>
          <w:rFonts w:ascii="Minion Pro" w:hAnsi="Minion Pro"/>
          <w:spacing w:val="-2"/>
        </w:rPr>
        <w:softHyphen/>
      </w:r>
      <w:r w:rsidRPr="00AB2713">
        <w:rPr>
          <w:rStyle w:val="Standard1"/>
          <w:rFonts w:ascii="Minion Pro" w:hAnsi="Minion Pro"/>
          <w:spacing w:val="-2"/>
        </w:rPr>
        <w:t>beschreibung</w:t>
      </w:r>
      <w:r w:rsidRPr="00C93D03">
        <w:rPr>
          <w:rStyle w:val="Standard1"/>
          <w:rFonts w:ascii="Minion Pro" w:hAnsi="Minion Pro"/>
        </w:rPr>
        <w:t xml:space="preserve"> für </w:t>
      </w:r>
      <w:r w:rsidRPr="00C93D03">
        <w:rPr>
          <w:rStyle w:val="Standard1"/>
          <w:rFonts w:ascii="Minion Pro" w:hAnsi="Minion Pro"/>
          <w:b/>
          <w:bCs/>
        </w:rPr>
        <w:t>Bauleistungen</w:t>
      </w:r>
      <w:r w:rsidRPr="00C93D03">
        <w:rPr>
          <w:rStyle w:val="Standard1"/>
          <w:rFonts w:ascii="Minion Pro" w:hAnsi="Minion Pro"/>
        </w:rPr>
        <w:t xml:space="preserve"> konkretisiert. Im Streitfall wurde als Tätigkeitsbeschreibung zwar lediglich </w:t>
      </w:r>
      <w:r w:rsidRPr="00AB2713">
        <w:rPr>
          <w:rStyle w:val="Standard1"/>
          <w:rFonts w:ascii="Minion Pro" w:hAnsi="Minion Pro"/>
          <w:spacing w:val="-2"/>
        </w:rPr>
        <w:t>„Trockenbauarbeiten“ angegeben, die erbrachte Leistung wurde aber durch die weiteren Angaben zum kon</w:t>
      </w:r>
      <w:r w:rsidR="00AB2713" w:rsidRPr="00AB2713">
        <w:rPr>
          <w:rStyle w:val="Standard1"/>
          <w:rFonts w:ascii="Minion Pro" w:hAnsi="Minion Pro"/>
          <w:spacing w:val="-2"/>
        </w:rPr>
        <w:softHyphen/>
      </w:r>
      <w:r w:rsidRPr="00AB2713">
        <w:rPr>
          <w:rStyle w:val="Standard1"/>
          <w:rFonts w:ascii="Minion Pro" w:hAnsi="Minion Pro"/>
          <w:spacing w:val="-2"/>
        </w:rPr>
        <w:t>kreten</w:t>
      </w:r>
      <w:r w:rsidRPr="00C93D03">
        <w:rPr>
          <w:rStyle w:val="Standard1"/>
          <w:rFonts w:ascii="Minion Pro" w:hAnsi="Minion Pro"/>
        </w:rPr>
        <w:t xml:space="preserve"> Bauvorhaben sowie zum </w:t>
      </w:r>
      <w:r w:rsidRPr="00C93D03">
        <w:rPr>
          <w:rStyle w:val="Standard1"/>
          <w:rFonts w:ascii="Minion Pro" w:hAnsi="Minion Pro"/>
          <w:b/>
          <w:bCs/>
        </w:rPr>
        <w:t>Ort</w:t>
      </w:r>
      <w:r w:rsidRPr="00C93D03">
        <w:rPr>
          <w:rStyle w:val="Standard1"/>
          <w:rFonts w:ascii="Minion Pro" w:hAnsi="Minion Pro"/>
        </w:rPr>
        <w:t xml:space="preserve"> der Leistungserbringung hinreichend präzisiert.</w:t>
      </w:r>
    </w:p>
    <w:p w14:paraId="0E9D5CC9" w14:textId="39B7DC78" w:rsidR="008A0EBE" w:rsidRPr="008A0EBE" w:rsidRDefault="00C93D03" w:rsidP="00F52E9F">
      <w:pPr>
        <w:spacing w:after="50"/>
        <w:rPr>
          <w:rStyle w:val="Standard1"/>
          <w:rFonts w:ascii="Minion Pro" w:hAnsi="Minion Pro"/>
        </w:rPr>
      </w:pPr>
      <w:r w:rsidRPr="00AB2713">
        <w:rPr>
          <w:rStyle w:val="Standard1"/>
          <w:rFonts w:ascii="Minion Pro" w:hAnsi="Minion Pro"/>
          <w:spacing w:val="-2"/>
        </w:rPr>
        <w:t>Im Einzelfall ist zu prüfen, ob die in der Rechnung angegebene Leistungsbeschreibung ausreichend ist. Sollte</w:t>
      </w:r>
      <w:r w:rsidRPr="00C93D03">
        <w:rPr>
          <w:rStyle w:val="Standard1"/>
          <w:rFonts w:ascii="Minion Pro" w:hAnsi="Minion Pro"/>
        </w:rPr>
        <w:t xml:space="preserve"> diese eher zu allgemein gehalten sein, kann dies zum Ausschluss des Vorsteuerabzugs beim Leistungs</w:t>
      </w:r>
      <w:r w:rsidR="00AB2713">
        <w:rPr>
          <w:rStyle w:val="Standard1"/>
          <w:rFonts w:ascii="Minion Pro" w:hAnsi="Minion Pro"/>
        </w:rPr>
        <w:softHyphen/>
      </w:r>
      <w:r w:rsidRPr="00C93D03">
        <w:rPr>
          <w:rStyle w:val="Standard1"/>
          <w:rFonts w:ascii="Minion Pro" w:hAnsi="Minion Pro"/>
        </w:rPr>
        <w:t>empfänger führen bzw. eine Korrektur der Rechnung erforderlich machen.</w:t>
      </w:r>
    </w:p>
    <w:p w14:paraId="45FD3774" w14:textId="3856C468" w:rsidR="006D6C03" w:rsidRDefault="00E51350" w:rsidP="00C93D03">
      <w:pPr>
        <w:pStyle w:val="berschrift1"/>
        <w:tabs>
          <w:tab w:val="left" w:pos="4253"/>
          <w:tab w:val="left" w:pos="7850"/>
        </w:tabs>
      </w:pPr>
      <w:r>
        <w:rPr>
          <w:noProof/>
          <w:sz w:val="20"/>
        </w:rPr>
        <mc:AlternateContent>
          <mc:Choice Requires="wps">
            <w:drawing>
              <wp:anchor distT="0" distB="0" distL="114300" distR="114300" simplePos="0" relativeHeight="251659776" behindDoc="1" locked="0" layoutInCell="1" allowOverlap="1" wp14:anchorId="7DE67637" wp14:editId="47119F23">
                <wp:simplePos x="0" y="0"/>
                <wp:positionH relativeFrom="page">
                  <wp:posOffset>622935</wp:posOffset>
                </wp:positionH>
                <wp:positionV relativeFrom="paragraph">
                  <wp:posOffset>269875</wp:posOffset>
                </wp:positionV>
                <wp:extent cx="6120000" cy="180000"/>
                <wp:effectExtent l="0" t="0" r="0" b="0"/>
                <wp:wrapNone/>
                <wp:docPr id="9"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D22F1"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67637" id="Text Box 340" o:spid="_x0000_s1034" type="#_x0000_t202" style="position:absolute;left:0;text-align:left;margin-left:49.05pt;margin-top:21.25pt;width:481.9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" fillcolor="silver" stroked="f">
                <v:textbox>
                  <w:txbxContent>
                    <w:p w14:paraId="10CD22F1" w14:textId="77777777" w:rsidR="00E11384" w:rsidRDefault="00E11384">
                      <w:pPr>
                        <w:rPr>
                          <w:color w:val="999999"/>
                        </w:rPr>
                      </w:pPr>
                    </w:p>
                  </w:txbxContent>
                </v:textbox>
                <w10:wrap anchorx="page"/>
              </v:shape>
            </w:pict>
          </mc:Fallback>
        </mc:AlternateContent>
      </w:r>
      <w:r w:rsidR="006D6C03">
        <w:rPr>
          <w:rStyle w:val="Ueber1Zahl"/>
        </w:rPr>
        <w:tab/>
      </w:r>
      <w:r w:rsidR="00224FB5">
        <w:rPr>
          <w:rStyle w:val="Ueber1Zahl"/>
        </w:rPr>
        <w:t>5</w:t>
      </w:r>
      <w:r w:rsidR="006D6C03">
        <w:tab/>
      </w:r>
      <w:r w:rsidR="00F52E9F" w:rsidRPr="00F52E9F">
        <w:t>Zweitwohnung  bei  Auswärtstätigkeit</w:t>
      </w:r>
    </w:p>
    <w:p w14:paraId="7F647FAB" w14:textId="7CC702C3" w:rsidR="00F52E9F" w:rsidRDefault="00F52E9F" w:rsidP="00F52E9F">
      <w:pPr>
        <w:spacing w:after="50"/>
      </w:pPr>
      <w:r w:rsidRPr="00F52E9F">
        <w:rPr>
          <w:spacing w:val="-2"/>
        </w:rPr>
        <w:t>Übernachtungskosten, die einem Arbeitnehmer bei einer beruflich veranlassten Auswärtstätigkeit entstanden</w:t>
      </w:r>
      <w:r>
        <w:t xml:space="preserve"> </w:t>
      </w:r>
      <w:r w:rsidRPr="00F52E9F">
        <w:rPr>
          <w:spacing w:val="-2"/>
        </w:rPr>
        <w:t>sind, können im Rahmen des § 9 Abs. 1 Nr. 5a EStG als Werbungskosten berücksichtigt werden. Das Finanz</w:t>
      </w:r>
      <w:r w:rsidRPr="00F52E9F">
        <w:rPr>
          <w:spacing w:val="-2"/>
        </w:rPr>
        <w:softHyphen/>
        <w:t>gericht</w:t>
      </w:r>
      <w:r>
        <w:t xml:space="preserve"> Hamburg</w:t>
      </w:r>
      <w:r>
        <w:rPr>
          <w:rStyle w:val="Funotenzeichen"/>
        </w:rPr>
        <w:footnoteReference w:id="18"/>
      </w:r>
      <w:r>
        <w:t xml:space="preserve"> hat nun entschieden, dass dies auch für Kosten einer vom Lebensmittelpunkt entfernt liegenden Zweitwohnung gilt, die für Übernachtungen im Rahmen einer wechselnden Auswärtstätigkeit sowie als Büroarbeitsplatz genutzt wird.</w:t>
      </w:r>
    </w:p>
    <w:p w14:paraId="4D82B8FC" w14:textId="2164B56F" w:rsidR="00F52E9F" w:rsidRDefault="00F52E9F" w:rsidP="00F52E9F">
      <w:pPr>
        <w:spacing w:after="50"/>
      </w:pPr>
      <w:r>
        <w:t xml:space="preserve">Im Streitfall hatte eine Außendienstmitarbeiterin eine Wohnung in Hamburg (120 km von ihrem Haus am Lebensmittelpunkt entfernt) angemietet. Die Wohnung nutzte sie als Ausgangspunkt für ihre </w:t>
      </w:r>
      <w:r w:rsidRPr="00F52E9F">
        <w:rPr>
          <w:spacing w:val="-2"/>
        </w:rPr>
        <w:t>Außendienst</w:t>
      </w:r>
      <w:r w:rsidRPr="00F52E9F">
        <w:rPr>
          <w:spacing w:val="-2"/>
        </w:rPr>
        <w:softHyphen/>
        <w:t>termine, zur Vorbereitung, Nachbearbeitung, Recherche und auch für reine „Bürotage“. Neben der schnellen</w:t>
      </w:r>
      <w:r>
        <w:t xml:space="preserve"> </w:t>
      </w:r>
      <w:r w:rsidRPr="00F52E9F">
        <w:rPr>
          <w:spacing w:val="-2"/>
        </w:rPr>
        <w:t>Erreichbarkeit von Flughafen und Bahnverbindungen für Auslandsreisen war auch schnelles Internet für die</w:t>
      </w:r>
      <w:r>
        <w:t xml:space="preserve"> </w:t>
      </w:r>
      <w:r w:rsidRPr="00F52E9F">
        <w:rPr>
          <w:spacing w:val="-2"/>
        </w:rPr>
        <w:t>Wohnungswahl entscheidend. Die Berücksichtigung der Wohnungskosten im Rahmen einer doppelten Haus</w:t>
      </w:r>
      <w:r w:rsidRPr="00F52E9F">
        <w:rPr>
          <w:spacing w:val="-2"/>
        </w:rPr>
        <w:softHyphen/>
        <w:t>haltsführung</w:t>
      </w:r>
      <w:r>
        <w:t xml:space="preserve"> schied aus, da die Arbeitnehmerin über </w:t>
      </w:r>
      <w:r w:rsidRPr="00F52E9F">
        <w:rPr>
          <w:b/>
          <w:bCs/>
        </w:rPr>
        <w:t>keine</w:t>
      </w:r>
      <w:r>
        <w:t xml:space="preserve"> erste Tätigkeitsstätte verfügte.</w:t>
      </w:r>
    </w:p>
    <w:p w14:paraId="4814D94D" w14:textId="2F912796" w:rsidR="00221861" w:rsidRPr="00F25EB2" w:rsidRDefault="00F52E9F" w:rsidP="00F52E9F">
      <w:pPr>
        <w:spacing w:after="50"/>
      </w:pPr>
      <w:r>
        <w:t>Das Gericht ließ den Werbungskostenabzug der Aufwendungen für die Wohnung (Nettokaltmiete, Neben</w:t>
      </w:r>
      <w:r>
        <w:softHyphen/>
        <w:t>kosten, Zweitwohnungsteuer) unbeschränkt als Reisekosten (Übernachtungskosten) zu.</w:t>
      </w:r>
    </w:p>
    <w:p w14:paraId="62E12BFF" w14:textId="4A3A0375" w:rsidR="00221861" w:rsidRDefault="00221861" w:rsidP="00C93D03">
      <w:pPr>
        <w:pStyle w:val="berschrift1"/>
      </w:pPr>
      <w:r>
        <w:rPr>
          <w:noProof/>
          <w:sz w:val="20"/>
        </w:rPr>
        <w:lastRenderedPageBreak/>
        <mc:AlternateContent>
          <mc:Choice Requires="wps">
            <w:drawing>
              <wp:anchor distT="0" distB="0" distL="114300" distR="114300" simplePos="0" relativeHeight="251662848" behindDoc="1" locked="0" layoutInCell="1" allowOverlap="0" wp14:anchorId="22081FDA" wp14:editId="0A12CEBF">
                <wp:simplePos x="0" y="0"/>
                <wp:positionH relativeFrom="page">
                  <wp:posOffset>622935</wp:posOffset>
                </wp:positionH>
                <wp:positionV relativeFrom="paragraph">
                  <wp:posOffset>0</wp:posOffset>
                </wp:positionV>
                <wp:extent cx="6120000" cy="180000"/>
                <wp:effectExtent l="0" t="0" r="0" b="0"/>
                <wp:wrapNone/>
                <wp:docPr id="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00C6F" w14:textId="77777777" w:rsidR="00221861" w:rsidRDefault="00221861" w:rsidP="00221861">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1FDA" id="_x0000_s1035" type="#_x0000_t202" style="position:absolute;left:0;text-align:left;margin-left:49.05pt;margin-top:0;width:481.9pt;height:14.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" o:allowoverlap="f" fillcolor="silver" stroked="f">
                <v:textbox>
                  <w:txbxContent>
                    <w:p w14:paraId="4AF00C6F" w14:textId="77777777" w:rsidR="00221861" w:rsidRDefault="00221861" w:rsidP="00221861">
                      <w:pPr>
                        <w:rPr>
                          <w:color w:val="999999"/>
                        </w:rPr>
                      </w:pPr>
                    </w:p>
                  </w:txbxContent>
                </v:textbox>
                <w10:wrap anchorx="page"/>
              </v:shape>
            </w:pict>
          </mc:Fallback>
        </mc:AlternateContent>
      </w:r>
      <w:r>
        <w:tab/>
      </w:r>
      <w:r>
        <w:rPr>
          <w:rStyle w:val="Ueber1Zahl"/>
        </w:rPr>
        <w:t>6</w:t>
      </w:r>
      <w:r>
        <w:tab/>
      </w:r>
      <w:r w:rsidR="00702E51" w:rsidRPr="00702E51">
        <w:t>Private  Kapitalerträge  in  der  Einkommensteuer-Erklärung  2019</w:t>
      </w:r>
    </w:p>
    <w:p w14:paraId="2CAB4214" w14:textId="5941BDBD" w:rsidR="00702E51" w:rsidRPr="00702E51" w:rsidRDefault="00702E51" w:rsidP="00C977B4">
      <w:pPr>
        <w:spacing w:after="150"/>
        <w:rPr>
          <w:rStyle w:val="Standard1"/>
          <w:rFonts w:ascii="Minion Pro" w:hAnsi="Minion Pro"/>
        </w:rPr>
      </w:pPr>
      <w:r w:rsidRPr="00702E51">
        <w:rPr>
          <w:rStyle w:val="Standard1"/>
          <w:rFonts w:ascii="Minion Pro" w:hAnsi="Minion Pro"/>
        </w:rPr>
        <w:t xml:space="preserve">Die Besteuerung von privaten Kapitalerträgen ist grundsätzlich durch einen Kapitalertragsteuerabzug in Höhe von </w:t>
      </w:r>
      <w:r w:rsidRPr="0035314C">
        <w:rPr>
          <w:rStyle w:val="Standard1"/>
          <w:rFonts w:ascii="Minion Pro" w:hAnsi="Minion Pro"/>
          <w:b/>
          <w:bCs/>
        </w:rPr>
        <w:t>25</w:t>
      </w:r>
      <w:r w:rsidR="0035314C" w:rsidRPr="0035314C">
        <w:rPr>
          <w:rStyle w:val="Standard1"/>
          <w:rFonts w:ascii="Minion Pro" w:hAnsi="Minion Pro"/>
          <w:b/>
          <w:bCs/>
        </w:rPr>
        <w:t> </w:t>
      </w:r>
      <w:r w:rsidRPr="0035314C">
        <w:rPr>
          <w:rStyle w:val="Standard1"/>
          <w:rFonts w:ascii="Minion Pro" w:hAnsi="Minion Pro"/>
          <w:b/>
          <w:bCs/>
        </w:rPr>
        <w:t>%</w:t>
      </w:r>
      <w:r w:rsidRPr="00702E51">
        <w:rPr>
          <w:rStyle w:val="Standard1"/>
          <w:rFonts w:ascii="Minion Pro" w:hAnsi="Minion Pro"/>
        </w:rPr>
        <w:t xml:space="preserve"> zuzüglich Solidaritätszuschlag und ggf. Kirchensteuer</w:t>
      </w:r>
      <w:r>
        <w:rPr>
          <w:rStyle w:val="Funotenzeichen"/>
        </w:rPr>
        <w:footnoteReference w:id="19"/>
      </w:r>
      <w:r w:rsidRPr="00702E51">
        <w:rPr>
          <w:rStyle w:val="Standard1"/>
          <w:rFonts w:ascii="Minion Pro" w:hAnsi="Minion Pro"/>
        </w:rPr>
        <w:t xml:space="preserve"> abgegolten. Kapitalerträge müssen daher regelmäßig nicht in der Einkommensteuer-Erklärung angegeben werden.</w:t>
      </w:r>
    </w:p>
    <w:p w14:paraId="4112CF6F" w14:textId="71AA842C" w:rsidR="00702E51" w:rsidRPr="00702E51" w:rsidRDefault="00702E51" w:rsidP="00C977B4">
      <w:pPr>
        <w:spacing w:after="150"/>
        <w:rPr>
          <w:rStyle w:val="Standard1"/>
          <w:rFonts w:ascii="Minion Pro" w:hAnsi="Minion Pro"/>
        </w:rPr>
      </w:pPr>
      <w:r w:rsidRPr="00702E51">
        <w:rPr>
          <w:rStyle w:val="Standard1"/>
          <w:rFonts w:ascii="Minion Pro" w:hAnsi="Minion Pro"/>
        </w:rPr>
        <w:t>Die Angabe von privaten Kapitalerträgen in der Steuererklärung kann aber zwingend erforderlich oder empfehlenswert sein; siehe dazu insbesondere folgende Beispiele:</w:t>
      </w:r>
    </w:p>
    <w:p w14:paraId="19B85A02" w14:textId="77777777" w:rsidR="00702E51" w:rsidRPr="00BA0183" w:rsidRDefault="00702E51" w:rsidP="00C977B4">
      <w:pPr>
        <w:spacing w:before="320" w:after="150"/>
        <w:rPr>
          <w:b/>
          <w:noProof/>
        </w:rPr>
      </w:pPr>
      <w:r>
        <w:rPr>
          <w:b/>
          <w:noProof/>
        </w:rPr>
        <mc:AlternateContent>
          <mc:Choice Requires="wps">
            <w:drawing>
              <wp:anchor distT="0" distB="0" distL="114300" distR="114300" simplePos="0" relativeHeight="251662336" behindDoc="1" locked="0" layoutInCell="1" allowOverlap="0" wp14:anchorId="5061CA7A" wp14:editId="0E921E60">
                <wp:simplePos x="0" y="0"/>
                <wp:positionH relativeFrom="page">
                  <wp:posOffset>2844165</wp:posOffset>
                </wp:positionH>
                <wp:positionV relativeFrom="paragraph">
                  <wp:posOffset>90170</wp:posOffset>
                </wp:positionV>
                <wp:extent cx="756000" cy="180000"/>
                <wp:effectExtent l="0" t="0" r="635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06E69" w14:textId="77777777" w:rsidR="00702E51" w:rsidRDefault="00702E51" w:rsidP="00702E51">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CA7A" id="Textfeld 7" o:spid="_x0000_s1036" type="#_x0000_t202" style="position:absolute;left:0;text-align:left;margin-left:223.95pt;margin-top:7.1pt;width:59.55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" o:allowoverlap="f" fillcolor="silver" stroked="f">
                <v:textbox>
                  <w:txbxContent>
                    <w:p w14:paraId="04A06E69" w14:textId="77777777" w:rsidR="00702E51" w:rsidRDefault="00702E51" w:rsidP="00702E51">
                      <w:pPr>
                        <w:rPr>
                          <w:color w:val="999999"/>
                        </w:rPr>
                      </w:pPr>
                    </w:p>
                  </w:txbxContent>
                </v:textbox>
                <w10:wrap anchorx="page"/>
              </v:shape>
            </w:pict>
          </mc:Fallback>
        </mc:AlternateContent>
      </w:r>
      <w:r w:rsidRPr="00BA0183">
        <w:rPr>
          <w:b/>
          <w:noProof/>
        </w:rPr>
        <w:t>Die Angabe der Kap</w:t>
      </w:r>
      <w:r>
        <w:rPr>
          <w:b/>
          <w:noProof/>
        </w:rPr>
        <w:t xml:space="preserve">italerträge ist  erforderlich,  </w:t>
      </w:r>
      <w:r w:rsidRPr="00BA0183">
        <w:rPr>
          <w:b/>
          <w:noProof/>
        </w:rPr>
        <w:t>wenn</w:t>
      </w:r>
    </w:p>
    <w:p w14:paraId="4021F76E" w14:textId="2F26E860"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w:t>
      </w:r>
      <w:r w:rsidRPr="00702E51">
        <w:rPr>
          <w:rStyle w:val="Standard1"/>
          <w:rFonts w:ascii="Minion Pro" w:hAnsi="Minion Pro"/>
        </w:rPr>
        <w:tab/>
        <w:t xml:space="preserve">für Kapitalerträge </w:t>
      </w:r>
      <w:r w:rsidRPr="0035314C">
        <w:rPr>
          <w:rStyle w:val="Standard1"/>
          <w:rFonts w:ascii="Minion Pro" w:hAnsi="Minion Pro"/>
          <w:b/>
          <w:bCs/>
        </w:rPr>
        <w:t>keine Kapitalertragsteuer</w:t>
      </w:r>
      <w:r w:rsidRPr="00702E51">
        <w:rPr>
          <w:rStyle w:val="Standard1"/>
          <w:rFonts w:ascii="Minion Pro" w:hAnsi="Minion Pro"/>
        </w:rPr>
        <w:t xml:space="preserve"> einbehalten wurde (z. B. bei Darlehen an Angehörige</w:t>
      </w:r>
      <w:r w:rsidRPr="0035314C">
        <w:rPr>
          <w:rStyle w:val="Standard1"/>
          <w:rFonts w:ascii="Minion Pro" w:hAnsi="Minion Pro"/>
          <w:vertAlign w:val="superscript"/>
        </w:rPr>
        <w:t>20</w:t>
      </w:r>
      <w:r w:rsidRPr="00702E51">
        <w:rPr>
          <w:rStyle w:val="Standard1"/>
          <w:rFonts w:ascii="Minion Pro" w:hAnsi="Minion Pro"/>
        </w:rPr>
        <w:t xml:space="preserve"> oder </w:t>
      </w:r>
      <w:r w:rsidRPr="0035314C">
        <w:rPr>
          <w:rStyle w:val="Standard1"/>
          <w:rFonts w:ascii="Minion Pro" w:hAnsi="Minion Pro"/>
          <w:spacing w:val="-2"/>
        </w:rPr>
        <w:t>für Gesellschafter-Darlehen,</w:t>
      </w:r>
      <w:r w:rsidRPr="0035314C">
        <w:rPr>
          <w:rStyle w:val="Funotenzeichen"/>
          <w:spacing w:val="-2"/>
        </w:rPr>
        <w:footnoteReference w:id="20"/>
      </w:r>
      <w:r w:rsidRPr="0035314C">
        <w:rPr>
          <w:rStyle w:val="Standard1"/>
          <w:rFonts w:ascii="Minion Pro" w:hAnsi="Minion Pro"/>
          <w:spacing w:val="-2"/>
        </w:rPr>
        <w:t xml:space="preserve"> Steuererstattungszinsen nach § 233a AO, Zinsen von ausländischen Banken).</w:t>
      </w:r>
      <w:r w:rsidRPr="00702E51">
        <w:rPr>
          <w:rStyle w:val="Standard1"/>
          <w:rFonts w:ascii="Minion Pro" w:hAnsi="Minion Pro"/>
        </w:rPr>
        <w:t xml:space="preserve"> Der Steuersatz für diese Erträge im Rahmen der Einkommensteuer-Veranlagung entspricht dann regel</w:t>
      </w:r>
      <w:r w:rsidR="0035314C">
        <w:rPr>
          <w:rStyle w:val="Standard1"/>
          <w:rFonts w:ascii="Minion Pro" w:hAnsi="Minion Pro"/>
        </w:rPr>
        <w:softHyphen/>
      </w:r>
      <w:r w:rsidRPr="00702E51">
        <w:rPr>
          <w:rStyle w:val="Standard1"/>
          <w:rFonts w:ascii="Minion Pro" w:hAnsi="Minion Pro"/>
        </w:rPr>
        <w:t xml:space="preserve">mäßig dem </w:t>
      </w:r>
      <w:proofErr w:type="spellStart"/>
      <w:r w:rsidRPr="00702E51">
        <w:rPr>
          <w:rStyle w:val="Standard1"/>
          <w:rFonts w:ascii="Minion Pro" w:hAnsi="Minion Pro"/>
        </w:rPr>
        <w:t>Abgeltungsteuersatz</w:t>
      </w:r>
      <w:proofErr w:type="spellEnd"/>
      <w:r w:rsidRPr="00702E51">
        <w:rPr>
          <w:rStyle w:val="Standard1"/>
          <w:rFonts w:ascii="Minion Pro" w:hAnsi="Minion Pro"/>
        </w:rPr>
        <w:t xml:space="preserve"> von 25 % (vgl. § 32d EStG).</w:t>
      </w:r>
    </w:p>
    <w:p w14:paraId="721E1930" w14:textId="4A18D4F9"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w:t>
      </w:r>
      <w:r w:rsidRPr="00702E51">
        <w:rPr>
          <w:rStyle w:val="Standard1"/>
          <w:rFonts w:ascii="Minion Pro" w:hAnsi="Minion Pro"/>
        </w:rPr>
        <w:tab/>
        <w:t xml:space="preserve">trotz Kirchensteuerpflicht </w:t>
      </w:r>
      <w:r w:rsidRPr="0035314C">
        <w:rPr>
          <w:rStyle w:val="Standard1"/>
          <w:rFonts w:ascii="Minion Pro" w:hAnsi="Minion Pro"/>
          <w:b/>
          <w:bCs/>
        </w:rPr>
        <w:t>keine Kirchensteuer</w:t>
      </w:r>
      <w:r w:rsidRPr="00702E51">
        <w:rPr>
          <w:rStyle w:val="Standard1"/>
          <w:rFonts w:ascii="Minion Pro" w:hAnsi="Minion Pro"/>
        </w:rPr>
        <w:t xml:space="preserve"> von den Kapitalerträgen einbehalten wurde (z.</w:t>
      </w:r>
      <w:r w:rsidR="0035314C">
        <w:rPr>
          <w:rStyle w:val="Standard1"/>
          <w:rFonts w:ascii="Minion Pro" w:hAnsi="Minion Pro"/>
        </w:rPr>
        <w:t> </w:t>
      </w:r>
      <w:r w:rsidRPr="00702E51">
        <w:rPr>
          <w:rStyle w:val="Standard1"/>
          <w:rFonts w:ascii="Minion Pro" w:hAnsi="Minion Pro"/>
        </w:rPr>
        <w:t xml:space="preserve">B. wegen </w:t>
      </w:r>
      <w:r w:rsidRPr="0035314C">
        <w:rPr>
          <w:rStyle w:val="Standard1"/>
          <w:rFonts w:ascii="Minion Pro" w:hAnsi="Minion Pro"/>
          <w:spacing w:val="-2"/>
        </w:rPr>
        <w:t>Abgabe eines Sperrvermerks</w:t>
      </w:r>
      <w:r w:rsidRPr="0035314C">
        <w:rPr>
          <w:rStyle w:val="Funotenzeichen"/>
          <w:spacing w:val="-2"/>
        </w:rPr>
        <w:footnoteReference w:id="21"/>
      </w:r>
      <w:r w:rsidRPr="0035314C">
        <w:rPr>
          <w:rStyle w:val="Standard1"/>
          <w:rFonts w:ascii="Minion Pro" w:hAnsi="Minion Pro"/>
          <w:spacing w:val="-2"/>
        </w:rPr>
        <w:t>). In diesem Fall reicht es aus, nur die darauf entfallende Kapitalertragsteuer</w:t>
      </w:r>
      <w:r w:rsidRPr="00702E51">
        <w:rPr>
          <w:rStyle w:val="Standard1"/>
          <w:rFonts w:ascii="Minion Pro" w:hAnsi="Minion Pro"/>
        </w:rPr>
        <w:t xml:space="preserve"> anzugeben. Die Kirchensteuer wird dann im Rahmen der Veranlagung festgesetzt.</w:t>
      </w:r>
      <w:r>
        <w:rPr>
          <w:rStyle w:val="Funotenzeichen"/>
        </w:rPr>
        <w:footnoteReference w:id="22"/>
      </w:r>
    </w:p>
    <w:p w14:paraId="07B94BAA" w14:textId="6F6F1A66"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ab/>
      </w:r>
      <w:r w:rsidRPr="0035314C">
        <w:rPr>
          <w:rStyle w:val="Standard1"/>
          <w:rFonts w:ascii="Minion Pro" w:hAnsi="Minion Pro"/>
          <w:spacing w:val="-2"/>
        </w:rPr>
        <w:t xml:space="preserve">Eine </w:t>
      </w:r>
      <w:r w:rsidRPr="0035314C">
        <w:rPr>
          <w:rStyle w:val="Standard1"/>
          <w:rFonts w:ascii="Minion Pro" w:hAnsi="Minion Pro"/>
          <w:b/>
          <w:bCs/>
          <w:spacing w:val="-2"/>
        </w:rPr>
        <w:t>Minderung</w:t>
      </w:r>
      <w:r w:rsidRPr="0035314C">
        <w:rPr>
          <w:rStyle w:val="Standard1"/>
          <w:rFonts w:ascii="Minion Pro" w:hAnsi="Minion Pro"/>
          <w:spacing w:val="-2"/>
        </w:rPr>
        <w:t xml:space="preserve"> der Abgeltungsteuer wegen Kirchensteuerpflicht</w:t>
      </w:r>
      <w:r w:rsidRPr="0035314C">
        <w:rPr>
          <w:rStyle w:val="Standard1"/>
          <w:rFonts w:ascii="Minion Pro" w:hAnsi="Minion Pro"/>
          <w:spacing w:val="-2"/>
          <w:vertAlign w:val="superscript"/>
        </w:rPr>
        <w:t>19</w:t>
      </w:r>
      <w:r w:rsidRPr="0035314C">
        <w:rPr>
          <w:rStyle w:val="Standard1"/>
          <w:rFonts w:ascii="Minion Pro" w:hAnsi="Minion Pro"/>
          <w:spacing w:val="-2"/>
        </w:rPr>
        <w:t xml:space="preserve"> kann nur erreicht werden, wenn auch</w:t>
      </w:r>
      <w:r w:rsidRPr="00702E51">
        <w:rPr>
          <w:rStyle w:val="Standard1"/>
          <w:rFonts w:ascii="Minion Pro" w:hAnsi="Minion Pro"/>
        </w:rPr>
        <w:t xml:space="preserve"> die gesamten Kapitalerträge angegeben werden.</w:t>
      </w:r>
    </w:p>
    <w:p w14:paraId="71E7D2E6" w14:textId="77777777" w:rsidR="00702E51" w:rsidRPr="00BA0183" w:rsidRDefault="00702E51" w:rsidP="00C977B4">
      <w:pPr>
        <w:spacing w:before="320" w:after="150"/>
        <w:rPr>
          <w:b/>
          <w:noProof/>
        </w:rPr>
      </w:pPr>
      <w:r>
        <w:rPr>
          <w:b/>
          <w:noProof/>
        </w:rPr>
        <mc:AlternateContent>
          <mc:Choice Requires="wps">
            <w:drawing>
              <wp:anchor distT="0" distB="0" distL="114300" distR="114300" simplePos="0" relativeHeight="251665408" behindDoc="1" locked="0" layoutInCell="1" allowOverlap="0" wp14:anchorId="6592B3D2" wp14:editId="16A40A11">
                <wp:simplePos x="0" y="0"/>
                <wp:positionH relativeFrom="page">
                  <wp:posOffset>2844165</wp:posOffset>
                </wp:positionH>
                <wp:positionV relativeFrom="paragraph">
                  <wp:posOffset>90170</wp:posOffset>
                </wp:positionV>
                <wp:extent cx="529200" cy="180000"/>
                <wp:effectExtent l="0" t="0" r="4445"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5B46F" w14:textId="77777777" w:rsidR="00702E51" w:rsidRDefault="00702E51" w:rsidP="00702E51">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B3D2" id="Textfeld 8" o:spid="_x0000_s1037" type="#_x0000_t202" style="position:absolute;left:0;text-align:left;margin-left:223.95pt;margin-top:7.1pt;width:41.65pt;height:14.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" o:allowoverlap="f" fillcolor="silver" stroked="f">
                <v:textbox>
                  <w:txbxContent>
                    <w:p w14:paraId="2C05B46F" w14:textId="77777777" w:rsidR="00702E51" w:rsidRDefault="00702E51" w:rsidP="00702E51">
                      <w:pPr>
                        <w:rPr>
                          <w:color w:val="999999"/>
                        </w:rPr>
                      </w:pPr>
                    </w:p>
                  </w:txbxContent>
                </v:textbox>
                <w10:wrap anchorx="page"/>
              </v:shape>
            </w:pict>
          </mc:Fallback>
        </mc:AlternateContent>
      </w:r>
      <w:r w:rsidRPr="00BA0183">
        <w:rPr>
          <w:b/>
          <w:noProof/>
        </w:rPr>
        <w:t>Die Angabe der Kapitalerträge ist  sinnvoll,  wenn</w:t>
      </w:r>
    </w:p>
    <w:p w14:paraId="74438E0D" w14:textId="3E4BC1BE"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w:t>
      </w:r>
      <w:r w:rsidRPr="00702E51">
        <w:rPr>
          <w:rStyle w:val="Standard1"/>
          <w:rFonts w:ascii="Minion Pro" w:hAnsi="Minion Pro"/>
        </w:rPr>
        <w:tab/>
        <w:t xml:space="preserve">die Besteuerung </w:t>
      </w:r>
      <w:r w:rsidRPr="0035314C">
        <w:rPr>
          <w:rStyle w:val="Standard1"/>
          <w:rFonts w:ascii="Minion Pro" w:hAnsi="Minion Pro"/>
          <w:b/>
          <w:bCs/>
        </w:rPr>
        <w:t>sämtlicher</w:t>
      </w:r>
      <w:r w:rsidRPr="00702E51">
        <w:rPr>
          <w:rStyle w:val="Standard1"/>
          <w:rFonts w:ascii="Minion Pro" w:hAnsi="Minion Pro"/>
        </w:rPr>
        <w:t xml:space="preserve"> Kapitalerträge mit dem persönlichen Einkommensteuersatz günstiger ist als der 25</w:t>
      </w:r>
      <w:r w:rsidR="00A334C9">
        <w:rPr>
          <w:rStyle w:val="Standard1"/>
          <w:rFonts w:ascii="Minion Pro" w:hAnsi="Minion Pro"/>
        </w:rPr>
        <w:t> </w:t>
      </w:r>
      <w:r w:rsidRPr="00702E51">
        <w:rPr>
          <w:rStyle w:val="Standard1"/>
          <w:rFonts w:ascii="Minion Pro" w:hAnsi="Minion Pro"/>
        </w:rPr>
        <w:t>%</w:t>
      </w:r>
      <w:proofErr w:type="spellStart"/>
      <w:r w:rsidRPr="00702E51">
        <w:rPr>
          <w:rStyle w:val="Standard1"/>
          <w:rFonts w:ascii="Minion Pro" w:hAnsi="Minion Pro"/>
        </w:rPr>
        <w:t>ige</w:t>
      </w:r>
      <w:proofErr w:type="spellEnd"/>
      <w:r w:rsidRPr="00702E51">
        <w:rPr>
          <w:rStyle w:val="Standard1"/>
          <w:rFonts w:ascii="Minion Pro" w:hAnsi="Minion Pro"/>
        </w:rPr>
        <w:t xml:space="preserve"> Kapitalertragsteuerabzug (sog. </w:t>
      </w:r>
      <w:r w:rsidRPr="0035314C">
        <w:rPr>
          <w:rStyle w:val="Standard1"/>
          <w:rFonts w:ascii="Minion Pro" w:hAnsi="Minion Pro"/>
          <w:b/>
          <w:bCs/>
        </w:rPr>
        <w:t>Günstigerprüfung</w:t>
      </w:r>
      <w:r w:rsidRPr="00702E51">
        <w:rPr>
          <w:rStyle w:val="Standard1"/>
          <w:rFonts w:ascii="Minion Pro" w:hAnsi="Minion Pro"/>
        </w:rPr>
        <w:t>).</w:t>
      </w:r>
      <w:r>
        <w:rPr>
          <w:rStyle w:val="Funotenzeichen"/>
        </w:rPr>
        <w:footnoteReference w:id="23"/>
      </w:r>
      <w:r w:rsidRPr="00702E51">
        <w:rPr>
          <w:rStyle w:val="Standard1"/>
          <w:rFonts w:ascii="Minion Pro" w:hAnsi="Minion Pro"/>
        </w:rPr>
        <w:t xml:space="preserve"> Dies kann z.</w:t>
      </w:r>
      <w:r w:rsidR="0035314C">
        <w:rPr>
          <w:rStyle w:val="Standard1"/>
          <w:rFonts w:ascii="Minion Pro" w:hAnsi="Minion Pro"/>
        </w:rPr>
        <w:t> </w:t>
      </w:r>
      <w:r w:rsidRPr="00702E51">
        <w:rPr>
          <w:rStyle w:val="Standard1"/>
          <w:rFonts w:ascii="Minion Pro" w:hAnsi="Minion Pro"/>
        </w:rPr>
        <w:t>B. auch durch Berücksich</w:t>
      </w:r>
      <w:r w:rsidR="0035314C">
        <w:rPr>
          <w:rStyle w:val="Standard1"/>
          <w:rFonts w:ascii="Minion Pro" w:hAnsi="Minion Pro"/>
        </w:rPr>
        <w:softHyphen/>
      </w:r>
      <w:r w:rsidRPr="00702E51">
        <w:rPr>
          <w:rStyle w:val="Standard1"/>
          <w:rFonts w:ascii="Minion Pro" w:hAnsi="Minion Pro"/>
        </w:rPr>
        <w:t>tigung von Verlusten aus anderen Einkunftsarten (z. B. aus Vermietung und Verpachtung) eintreten.</w:t>
      </w:r>
    </w:p>
    <w:p w14:paraId="5EAD8E2B" w14:textId="35AF4214"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w:t>
      </w:r>
      <w:r w:rsidRPr="00702E51">
        <w:rPr>
          <w:rStyle w:val="Standard1"/>
          <w:rFonts w:ascii="Minion Pro" w:hAnsi="Minion Pro"/>
        </w:rPr>
        <w:tab/>
        <w:t xml:space="preserve">die Besteuerung von Gewinnausschüttungen aus einer </w:t>
      </w:r>
      <w:r w:rsidRPr="0035314C">
        <w:rPr>
          <w:rStyle w:val="Standard1"/>
          <w:rFonts w:ascii="Minion Pro" w:hAnsi="Minion Pro"/>
          <w:b/>
          <w:bCs/>
        </w:rPr>
        <w:t>Beteiligung an einer Kapitalgesellschaft</w:t>
      </w:r>
      <w:r w:rsidRPr="00702E51">
        <w:rPr>
          <w:rStyle w:val="Standard1"/>
          <w:rFonts w:ascii="Minion Pro" w:hAnsi="Minion Pro"/>
        </w:rPr>
        <w:t xml:space="preserve"> in Höhe von 60</w:t>
      </w:r>
      <w:r w:rsidR="0035314C">
        <w:rPr>
          <w:rStyle w:val="Standard1"/>
          <w:rFonts w:ascii="Minion Pro" w:hAnsi="Minion Pro"/>
        </w:rPr>
        <w:t> </w:t>
      </w:r>
      <w:r w:rsidRPr="00702E51">
        <w:rPr>
          <w:rStyle w:val="Standard1"/>
          <w:rFonts w:ascii="Minion Pro" w:hAnsi="Minion Pro"/>
        </w:rPr>
        <w:t xml:space="preserve">% der Erträge mit dem persönlichen Steuersatz (sog. </w:t>
      </w:r>
      <w:r w:rsidRPr="0035314C">
        <w:rPr>
          <w:rStyle w:val="Standard1"/>
          <w:rFonts w:ascii="Minion Pro" w:hAnsi="Minion Pro"/>
          <w:b/>
          <w:bCs/>
        </w:rPr>
        <w:t>Teileinkünfteverfahren</w:t>
      </w:r>
      <w:r w:rsidRPr="00702E51">
        <w:rPr>
          <w:rStyle w:val="Standard1"/>
          <w:rFonts w:ascii="Minion Pro" w:hAnsi="Minion Pro"/>
        </w:rPr>
        <w:t>) günstiger ist als der Kapitalertragsteuerabzug. Das Teileinkünfteverfahren kann auch dann vorteilhaft sein, wenn z.</w:t>
      </w:r>
      <w:r w:rsidR="0035314C">
        <w:rPr>
          <w:rStyle w:val="Standard1"/>
          <w:rFonts w:ascii="Minion Pro" w:hAnsi="Minion Pro"/>
        </w:rPr>
        <w:t> </w:t>
      </w:r>
      <w:r w:rsidRPr="00702E51">
        <w:rPr>
          <w:rStyle w:val="Standard1"/>
          <w:rFonts w:ascii="Minion Pro" w:hAnsi="Minion Pro"/>
        </w:rPr>
        <w:t>B. Zinsen im Zusammenhang mit der Finanzierung des Kapitalanteils angefallen sind und (teilweise) berücksichtigt werden sollen.</w:t>
      </w:r>
    </w:p>
    <w:p w14:paraId="4333F4CB" w14:textId="703C0D94"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ab/>
        <w:t>Ein entsprechender Antrag ist möglich bei einer Beteiligung von mindestens 25</w:t>
      </w:r>
      <w:r w:rsidR="0035314C">
        <w:rPr>
          <w:rStyle w:val="Standard1"/>
          <w:rFonts w:ascii="Minion Pro" w:hAnsi="Minion Pro"/>
        </w:rPr>
        <w:t> </w:t>
      </w:r>
      <w:r w:rsidRPr="00702E51">
        <w:rPr>
          <w:rStyle w:val="Standard1"/>
          <w:rFonts w:ascii="Minion Pro" w:hAnsi="Minion Pro"/>
        </w:rPr>
        <w:t>% oder bei mindestens 1</w:t>
      </w:r>
      <w:r w:rsidR="0035314C">
        <w:rPr>
          <w:rStyle w:val="Standard1"/>
          <w:rFonts w:ascii="Minion Pro" w:hAnsi="Minion Pro"/>
        </w:rPr>
        <w:t> </w:t>
      </w:r>
      <w:r w:rsidRPr="00702E51">
        <w:rPr>
          <w:rStyle w:val="Standard1"/>
          <w:rFonts w:ascii="Minion Pro" w:hAnsi="Minion Pro"/>
        </w:rPr>
        <w:t>% und beruflicher Tätigkeit mit maßgeblichem unternehmerischen Einfluss auf die Gesellschaft.</w:t>
      </w:r>
      <w:r>
        <w:rPr>
          <w:rStyle w:val="Funotenzeichen"/>
        </w:rPr>
        <w:footnoteReference w:id="24"/>
      </w:r>
    </w:p>
    <w:p w14:paraId="3B42DC2C" w14:textId="05F62C98"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w:t>
      </w:r>
      <w:r w:rsidRPr="00702E51">
        <w:rPr>
          <w:rStyle w:val="Standard1"/>
          <w:rFonts w:ascii="Minion Pro" w:hAnsi="Minion Pro"/>
        </w:rPr>
        <w:tab/>
        <w:t xml:space="preserve">der Kapitalertragsteuerabzug </w:t>
      </w:r>
      <w:r w:rsidRPr="0035314C">
        <w:rPr>
          <w:rStyle w:val="Standard1"/>
          <w:rFonts w:ascii="Minion Pro" w:hAnsi="Minion Pro"/>
          <w:b/>
          <w:bCs/>
        </w:rPr>
        <w:t>zu hoch</w:t>
      </w:r>
      <w:r w:rsidRPr="00702E51">
        <w:rPr>
          <w:rStyle w:val="Standard1"/>
          <w:rFonts w:ascii="Minion Pro" w:hAnsi="Minion Pro"/>
        </w:rPr>
        <w:t xml:space="preserve"> gewesen ist; das ist u.</w:t>
      </w:r>
      <w:r w:rsidR="0035314C">
        <w:rPr>
          <w:rStyle w:val="Standard1"/>
          <w:rFonts w:ascii="Minion Pro" w:hAnsi="Minion Pro"/>
        </w:rPr>
        <w:t> </w:t>
      </w:r>
      <w:r w:rsidRPr="00702E51">
        <w:rPr>
          <w:rStyle w:val="Standard1"/>
          <w:rFonts w:ascii="Minion Pro" w:hAnsi="Minion Pro"/>
        </w:rPr>
        <w:t>a. möglich, wenn kein Freistellungsauftrag erteilt wurde und deshalb der Sparer-Pauschbetrag von 801 Euro (Ehepartner: 1.602 Euro) nicht – oder nicht vollständig – berücksichtigt werden konnte.</w:t>
      </w:r>
    </w:p>
    <w:p w14:paraId="0F056851" w14:textId="77777777" w:rsidR="00702E51" w:rsidRPr="00702E51" w:rsidRDefault="00702E51" w:rsidP="00C977B4">
      <w:pPr>
        <w:spacing w:after="150"/>
        <w:ind w:left="765" w:hanging="198"/>
        <w:rPr>
          <w:rStyle w:val="Standard1"/>
          <w:rFonts w:ascii="Minion Pro" w:hAnsi="Minion Pro"/>
        </w:rPr>
      </w:pPr>
      <w:r w:rsidRPr="00702E51">
        <w:rPr>
          <w:rStyle w:val="Standard1"/>
          <w:rFonts w:ascii="Minion Pro" w:hAnsi="Minion Pro"/>
        </w:rPr>
        <w:t>•</w:t>
      </w:r>
      <w:r w:rsidRPr="00702E51">
        <w:rPr>
          <w:rStyle w:val="Standard1"/>
          <w:rFonts w:ascii="Minion Pro" w:hAnsi="Minion Pro"/>
        </w:rPr>
        <w:tab/>
        <w:t>(Veräußerungs-)</w:t>
      </w:r>
      <w:r w:rsidRPr="0035314C">
        <w:rPr>
          <w:rStyle w:val="Standard1"/>
          <w:rFonts w:ascii="Minion Pro" w:hAnsi="Minion Pro"/>
          <w:b/>
          <w:bCs/>
        </w:rPr>
        <w:t>Verluste</w:t>
      </w:r>
      <w:r w:rsidRPr="00702E51">
        <w:rPr>
          <w:rStyle w:val="Standard1"/>
          <w:rFonts w:ascii="Minion Pro" w:hAnsi="Minion Pro"/>
        </w:rPr>
        <w:t xml:space="preserve"> aus Kapitalvermögen mit Veräußerungsgewinnen verrechnet werden sollen.</w:t>
      </w:r>
    </w:p>
    <w:p w14:paraId="5D7FA738" w14:textId="1F86C924" w:rsidR="00702E51" w:rsidRPr="00702E51" w:rsidRDefault="00702E51" w:rsidP="00C977B4">
      <w:pPr>
        <w:spacing w:after="150"/>
        <w:rPr>
          <w:rStyle w:val="Standard1"/>
          <w:rFonts w:ascii="Minion Pro" w:hAnsi="Minion Pro"/>
        </w:rPr>
      </w:pPr>
      <w:r w:rsidRPr="00702E51">
        <w:rPr>
          <w:rStyle w:val="Standard1"/>
          <w:rFonts w:ascii="Minion Pro" w:hAnsi="Minion Pro"/>
        </w:rPr>
        <w:t>Da z.</w:t>
      </w:r>
      <w:r w:rsidR="0035314C">
        <w:rPr>
          <w:rStyle w:val="Standard1"/>
          <w:rFonts w:ascii="Minion Pro" w:hAnsi="Minion Pro"/>
        </w:rPr>
        <w:t> </w:t>
      </w:r>
      <w:r w:rsidRPr="00702E51">
        <w:rPr>
          <w:rStyle w:val="Standard1"/>
          <w:rFonts w:ascii="Minion Pro" w:hAnsi="Minion Pro"/>
        </w:rPr>
        <w:t xml:space="preserve">B. Banken, Sparkassen oder Finanzdienstleister bei privaten Kapitalerträgen </w:t>
      </w:r>
      <w:r w:rsidRPr="0035314C">
        <w:rPr>
          <w:rStyle w:val="Standard1"/>
          <w:rFonts w:ascii="Minion Pro" w:hAnsi="Minion Pro"/>
          <w:b/>
          <w:bCs/>
        </w:rPr>
        <w:t>Steuerbescheinigungen</w:t>
      </w:r>
      <w:r w:rsidRPr="00702E51">
        <w:rPr>
          <w:rStyle w:val="Standard1"/>
          <w:rFonts w:ascii="Minion Pro" w:hAnsi="Minion Pro"/>
        </w:rPr>
        <w:t xml:space="preserve"> </w:t>
      </w:r>
      <w:r w:rsidRPr="0035314C">
        <w:rPr>
          <w:rStyle w:val="Standard1"/>
          <w:rFonts w:ascii="Minion Pro" w:hAnsi="Minion Pro"/>
          <w:spacing w:val="-2"/>
        </w:rPr>
        <w:t>teilweise nicht mehr automatisch ausstellen, sind diese ggf. anzufordern, wenn die Einbeziehung von Kapital</w:t>
      </w:r>
      <w:r w:rsidR="0035314C" w:rsidRPr="0035314C">
        <w:rPr>
          <w:rStyle w:val="Standard1"/>
          <w:rFonts w:ascii="Minion Pro" w:hAnsi="Minion Pro"/>
          <w:spacing w:val="-2"/>
        </w:rPr>
        <w:softHyphen/>
      </w:r>
      <w:r w:rsidRPr="0035314C">
        <w:rPr>
          <w:rStyle w:val="Standard1"/>
          <w:rFonts w:ascii="Minion Pro" w:hAnsi="Minion Pro"/>
          <w:spacing w:val="-2"/>
        </w:rPr>
        <w:t>erträgen</w:t>
      </w:r>
      <w:r w:rsidRPr="00702E51">
        <w:rPr>
          <w:rStyle w:val="Standard1"/>
          <w:rFonts w:ascii="Minion Pro" w:hAnsi="Minion Pro"/>
        </w:rPr>
        <w:t xml:space="preserve"> in die Einkommensteuer-Veranlagung beabsichtigt ist.</w:t>
      </w:r>
    </w:p>
    <w:p w14:paraId="053EE73D" w14:textId="116B52BD" w:rsidR="00702E51" w:rsidRPr="00702E51" w:rsidRDefault="00702E51" w:rsidP="00C977B4">
      <w:pPr>
        <w:spacing w:after="150"/>
        <w:rPr>
          <w:rStyle w:val="Standard1"/>
          <w:rFonts w:ascii="Minion Pro" w:hAnsi="Minion Pro"/>
        </w:rPr>
      </w:pPr>
      <w:r w:rsidRPr="00702E51">
        <w:rPr>
          <w:rStyle w:val="Standard1"/>
          <w:rFonts w:ascii="Minion Pro" w:hAnsi="Minion Pro"/>
        </w:rPr>
        <w:t xml:space="preserve">Für </w:t>
      </w:r>
      <w:r w:rsidRPr="0035314C">
        <w:rPr>
          <w:rStyle w:val="Standard1"/>
          <w:rFonts w:ascii="Minion Pro" w:hAnsi="Minion Pro"/>
          <w:b/>
          <w:bCs/>
        </w:rPr>
        <w:t>Verluste</w:t>
      </w:r>
      <w:r w:rsidRPr="00702E51">
        <w:rPr>
          <w:rStyle w:val="Standard1"/>
          <w:rFonts w:ascii="Minion Pro" w:hAnsi="Minion Pro"/>
        </w:rPr>
        <w:t xml:space="preserve">, die in einem </w:t>
      </w:r>
      <w:r w:rsidRPr="0035314C">
        <w:rPr>
          <w:rStyle w:val="Standard1"/>
          <w:rFonts w:ascii="Minion Pro" w:hAnsi="Minion Pro"/>
          <w:b/>
          <w:bCs/>
        </w:rPr>
        <w:t>Bankdepot</w:t>
      </w:r>
      <w:r w:rsidRPr="00702E51">
        <w:rPr>
          <w:rStyle w:val="Standard1"/>
          <w:rFonts w:ascii="Minion Pro" w:hAnsi="Minion Pro"/>
        </w:rPr>
        <w:t xml:space="preserve"> angefallen sind und nicht in diesem Depot zur zukünftigen Verlust</w:t>
      </w:r>
      <w:r w:rsidR="0035314C">
        <w:rPr>
          <w:rStyle w:val="Standard1"/>
          <w:rFonts w:ascii="Minion Pro" w:hAnsi="Minion Pro"/>
        </w:rPr>
        <w:softHyphen/>
      </w:r>
      <w:r w:rsidRPr="00702E51">
        <w:rPr>
          <w:rStyle w:val="Standard1"/>
          <w:rFonts w:ascii="Minion Pro" w:hAnsi="Minion Pro"/>
        </w:rPr>
        <w:t>verrechnung vorgetragen, sondern im Rahmen der Einkommensteuer-Veranlagung mit anderen (</w:t>
      </w:r>
      <w:proofErr w:type="spellStart"/>
      <w:r w:rsidRPr="00702E51">
        <w:rPr>
          <w:rStyle w:val="Standard1"/>
          <w:rFonts w:ascii="Minion Pro" w:hAnsi="Minion Pro"/>
        </w:rPr>
        <w:t>Veräuße</w:t>
      </w:r>
      <w:r w:rsidR="0035314C">
        <w:rPr>
          <w:rStyle w:val="Standard1"/>
          <w:rFonts w:ascii="Minion Pro" w:hAnsi="Minion Pro"/>
        </w:rPr>
        <w:softHyphen/>
      </w:r>
      <w:r w:rsidRPr="00702E51">
        <w:rPr>
          <w:rStyle w:val="Standard1"/>
          <w:rFonts w:ascii="Minion Pro" w:hAnsi="Minion Pro"/>
        </w:rPr>
        <w:t>rungs</w:t>
      </w:r>
      <w:proofErr w:type="spellEnd"/>
      <w:r w:rsidRPr="00702E51">
        <w:rPr>
          <w:rStyle w:val="Standard1"/>
          <w:rFonts w:ascii="Minion Pro" w:hAnsi="Minion Pro"/>
        </w:rPr>
        <w:t>-)Gewinnen verrechnet werden sollen, ist eine entsprechende Bescheinigung der Bank erforderlich.</w:t>
      </w:r>
      <w:r>
        <w:rPr>
          <w:rStyle w:val="Funotenzeichen"/>
        </w:rPr>
        <w:footnoteReference w:id="25"/>
      </w:r>
    </w:p>
    <w:p w14:paraId="2041342C" w14:textId="627EC7BC" w:rsidR="00E06341" w:rsidRPr="00702E51" w:rsidRDefault="00702E51" w:rsidP="00C977B4">
      <w:pPr>
        <w:spacing w:after="150"/>
        <w:rPr>
          <w:sz w:val="19"/>
        </w:rPr>
      </w:pPr>
      <w:r w:rsidRPr="0035314C">
        <w:rPr>
          <w:rStyle w:val="Standard1"/>
          <w:rFonts w:ascii="Minion Pro" w:hAnsi="Minion Pro"/>
          <w:spacing w:val="-2"/>
        </w:rPr>
        <w:t xml:space="preserve">Auch im Fall der </w:t>
      </w:r>
      <w:r w:rsidRPr="0035314C">
        <w:rPr>
          <w:rStyle w:val="Standard1"/>
          <w:rFonts w:ascii="Minion Pro" w:hAnsi="Minion Pro"/>
          <w:b/>
          <w:bCs/>
          <w:spacing w:val="-2"/>
        </w:rPr>
        <w:t>Günstigerprüfung</w:t>
      </w:r>
      <w:r w:rsidRPr="0035314C">
        <w:rPr>
          <w:rStyle w:val="Standard1"/>
          <w:rFonts w:ascii="Minion Pro" w:hAnsi="Minion Pro"/>
          <w:spacing w:val="-2"/>
        </w:rPr>
        <w:t xml:space="preserve"> (d.</w:t>
      </w:r>
      <w:r w:rsidR="0035314C">
        <w:rPr>
          <w:rStyle w:val="Standard1"/>
          <w:rFonts w:ascii="Minion Pro" w:hAnsi="Minion Pro"/>
          <w:spacing w:val="-2"/>
        </w:rPr>
        <w:t> </w:t>
      </w:r>
      <w:r w:rsidRPr="0035314C">
        <w:rPr>
          <w:rStyle w:val="Standard1"/>
          <w:rFonts w:ascii="Minion Pro" w:hAnsi="Minion Pro"/>
          <w:spacing w:val="-2"/>
        </w:rPr>
        <w:t xml:space="preserve">h., wenn der persönliche Steuersatz </w:t>
      </w:r>
      <w:r w:rsidRPr="0035314C">
        <w:rPr>
          <w:rStyle w:val="Standard1"/>
          <w:rFonts w:ascii="Minion Pro" w:hAnsi="Minion Pro"/>
          <w:b/>
          <w:bCs/>
          <w:spacing w:val="-2"/>
        </w:rPr>
        <w:t>niedriger</w:t>
      </w:r>
      <w:r w:rsidRPr="0035314C">
        <w:rPr>
          <w:rStyle w:val="Standard1"/>
          <w:rFonts w:ascii="Minion Pro" w:hAnsi="Minion Pro"/>
          <w:spacing w:val="-2"/>
        </w:rPr>
        <w:t xml:space="preserve"> ist als der </w:t>
      </w:r>
      <w:proofErr w:type="spellStart"/>
      <w:r w:rsidRPr="0035314C">
        <w:rPr>
          <w:rStyle w:val="Standard1"/>
          <w:rFonts w:ascii="Minion Pro" w:hAnsi="Minion Pro"/>
          <w:spacing w:val="-2"/>
        </w:rPr>
        <w:t>Abgeltung</w:t>
      </w:r>
      <w:r w:rsidR="0035314C" w:rsidRPr="0035314C">
        <w:rPr>
          <w:rStyle w:val="Standard1"/>
          <w:rFonts w:ascii="Minion Pro" w:hAnsi="Minion Pro"/>
          <w:spacing w:val="-2"/>
        </w:rPr>
        <w:softHyphen/>
      </w:r>
      <w:r w:rsidRPr="0035314C">
        <w:rPr>
          <w:rStyle w:val="Standard1"/>
          <w:rFonts w:ascii="Minion Pro" w:hAnsi="Minion Pro"/>
          <w:spacing w:val="-2"/>
        </w:rPr>
        <w:t>steuersatz</w:t>
      </w:r>
      <w:proofErr w:type="spellEnd"/>
      <w:r w:rsidRPr="00702E51">
        <w:rPr>
          <w:rStyle w:val="Standard1"/>
          <w:rFonts w:ascii="Minion Pro" w:hAnsi="Minion Pro"/>
        </w:rPr>
        <w:t xml:space="preserve"> von 25</w:t>
      </w:r>
      <w:r w:rsidR="0035314C">
        <w:rPr>
          <w:rStyle w:val="Standard1"/>
          <w:rFonts w:ascii="Minion Pro" w:hAnsi="Minion Pro"/>
        </w:rPr>
        <w:t> </w:t>
      </w:r>
      <w:r w:rsidRPr="00702E51">
        <w:rPr>
          <w:rStyle w:val="Standard1"/>
          <w:rFonts w:ascii="Minion Pro" w:hAnsi="Minion Pro"/>
        </w:rPr>
        <w:t>%) kann lediglich der Sparer-Pauschbetrag von 801 Euro (Ehepartner: 1.602 Euro) min</w:t>
      </w:r>
      <w:r w:rsidR="0035314C">
        <w:rPr>
          <w:rStyle w:val="Standard1"/>
          <w:rFonts w:ascii="Minion Pro" w:hAnsi="Minion Pro"/>
        </w:rPr>
        <w:softHyphen/>
      </w:r>
      <w:r w:rsidRPr="00702E51">
        <w:rPr>
          <w:rStyle w:val="Standard1"/>
          <w:rFonts w:ascii="Minion Pro" w:hAnsi="Minion Pro"/>
        </w:rPr>
        <w:t>dernd berücksichtigt werden.</w:t>
      </w:r>
      <w:r>
        <w:rPr>
          <w:rStyle w:val="Funotenzeichen"/>
        </w:rPr>
        <w:footnoteReference w:id="26"/>
      </w:r>
    </w:p>
    <w:sectPr w:rsidR="00E06341" w:rsidRPr="00702E51" w:rsidSect="00273719">
      <w:footerReference w:type="even" r:id="rId9"/>
      <w:footerReference w:type="default" r:id="rId10"/>
      <w:footnotePr>
        <w:numRestart w:val="eachSect"/>
      </w:footnotePr>
      <w:pgSz w:w="11906" w:h="16838" w:code="213"/>
      <w:pgMar w:top="992" w:right="1361" w:bottom="975" w:left="907" w:header="0" w:footer="83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87BAF" w14:textId="77777777" w:rsidR="00703692" w:rsidRDefault="00703692">
      <w:pPr>
        <w:spacing w:after="0" w:line="240" w:lineRule="auto"/>
      </w:pPr>
      <w:r>
        <w:separator/>
      </w:r>
    </w:p>
  </w:endnote>
  <w:endnote w:type="continuationSeparator" w:id="0">
    <w:p w14:paraId="3A84E27C" w14:textId="77777777" w:rsidR="00703692" w:rsidRDefault="0070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panose1 w:val="02040503050201020203"/>
    <w:charset w:val="00"/>
    <w:family w:val="roman"/>
    <w:notTrueType/>
    <w:pitch w:val="variable"/>
    <w:sig w:usb0="E00002AF" w:usb1="50006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w:altName w:val="Times New Roman"/>
    <w:charset w:val="4D"/>
    <w:family w:val="roman"/>
    <w:pitch w:val="variable"/>
    <w:sig w:usb0="00000003" w:usb1="00000000" w:usb2="00000000" w:usb3="00000000" w:csb0="00000001" w:csb1="00000000"/>
  </w:font>
  <w:font w:name="Minion Black">
    <w:altName w:val="Times New Roman"/>
    <w:charset w:val="4D"/>
    <w:family w:val="roman"/>
    <w:pitch w:val="variable"/>
    <w:sig w:usb0="00000003" w:usb1="00000000" w:usb2="00000000" w:usb3="00000000" w:csb0="00000001" w:csb1="00000000"/>
  </w:font>
  <w:font w:name="Minion Bold">
    <w:altName w:val="Times New Roman"/>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96AB" w14:textId="2052B75E" w:rsidR="00E11384" w:rsidRDefault="00F90EB7">
    <w:pPr>
      <w:pStyle w:val="Fuzeile"/>
    </w:pPr>
    <w:r>
      <w:rPr>
        <w:noProof/>
      </w:rPr>
      <w:drawing>
        <wp:anchor distT="0" distB="0" distL="114300" distR="114300" simplePos="0" relativeHeight="251666432" behindDoc="1" locked="0" layoutInCell="1" allowOverlap="1" wp14:anchorId="20515EED" wp14:editId="44183216">
          <wp:simplePos x="0" y="0"/>
          <wp:positionH relativeFrom="page">
            <wp:posOffset>935990</wp:posOffset>
          </wp:positionH>
          <wp:positionV relativeFrom="page">
            <wp:posOffset>10163810</wp:posOffset>
          </wp:positionV>
          <wp:extent cx="2250000" cy="198000"/>
          <wp:effectExtent l="0" t="0" r="0" b="0"/>
          <wp:wrapTight wrapText="bothSides">
            <wp:wrapPolygon edited="0">
              <wp:start x="0" y="0"/>
              <wp:lineTo x="0" y="18752"/>
              <wp:lineTo x="21399" y="18752"/>
              <wp:lineTo x="21399"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B_FusszL_04_2020.tif"/>
                  <pic:cNvPicPr/>
                </pic:nvPicPr>
                <pic:blipFill>
                  <a:blip r:embed="rId1">
                    <a:extLst>
                      <a:ext uri="{28A0092B-C50C-407E-A947-70E740481C1C}">
                        <a14:useLocalDpi xmlns:a14="http://schemas.microsoft.com/office/drawing/2010/main" val="0"/>
                      </a:ext>
                    </a:extLst>
                  </a:blip>
                  <a:stretch>
                    <a:fillRect/>
                  </a:stretch>
                </pic:blipFill>
                <pic:spPr>
                  <a:xfrm>
                    <a:off x="0" y="0"/>
                    <a:ext cx="22500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9052" w14:textId="458C778E" w:rsidR="00E11384" w:rsidRDefault="00F90EB7">
    <w:pPr>
      <w:pStyle w:val="Fuzeile"/>
    </w:pPr>
    <w:r>
      <w:rPr>
        <w:noProof/>
      </w:rPr>
      <w:drawing>
        <wp:anchor distT="0" distB="0" distL="114300" distR="114300" simplePos="0" relativeHeight="251665408" behindDoc="1" locked="0" layoutInCell="1" allowOverlap="1" wp14:anchorId="38D36E69" wp14:editId="37A7A3D5">
          <wp:simplePos x="0" y="0"/>
          <wp:positionH relativeFrom="page">
            <wp:posOffset>4457065</wp:posOffset>
          </wp:positionH>
          <wp:positionV relativeFrom="page">
            <wp:posOffset>10163810</wp:posOffset>
          </wp:positionV>
          <wp:extent cx="2250000" cy="198000"/>
          <wp:effectExtent l="0" t="0" r="0" b="0"/>
          <wp:wrapTight wrapText="bothSides">
            <wp:wrapPolygon edited="0">
              <wp:start x="0" y="0"/>
              <wp:lineTo x="0" y="18752"/>
              <wp:lineTo x="21399" y="18752"/>
              <wp:lineTo x="2139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B_FusszR_04_2020.tif"/>
                  <pic:cNvPicPr/>
                </pic:nvPicPr>
                <pic:blipFill>
                  <a:blip r:embed="rId1">
                    <a:extLst>
                      <a:ext uri="{28A0092B-C50C-407E-A947-70E740481C1C}">
                        <a14:useLocalDpi xmlns:a14="http://schemas.microsoft.com/office/drawing/2010/main" val="0"/>
                      </a:ext>
                    </a:extLst>
                  </a:blip>
                  <a:stretch>
                    <a:fillRect/>
                  </a:stretch>
                </pic:blipFill>
                <pic:spPr>
                  <a:xfrm>
                    <a:off x="0" y="0"/>
                    <a:ext cx="22500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A86AD" w14:textId="77777777" w:rsidR="00703692" w:rsidRDefault="00703692">
      <w:r>
        <w:t>______________________________________________________________________________________</w:t>
      </w:r>
    </w:p>
  </w:footnote>
  <w:footnote w:type="continuationSeparator" w:id="0">
    <w:p w14:paraId="05A198EB" w14:textId="77777777" w:rsidR="00703692" w:rsidRDefault="00703692">
      <w:pPr>
        <w:spacing w:after="0" w:line="240" w:lineRule="auto"/>
      </w:pPr>
      <w:r>
        <w:continuationSeparator/>
      </w:r>
    </w:p>
  </w:footnote>
  <w:footnote w:id="1">
    <w:p w14:paraId="61EC450F" w14:textId="77777777" w:rsidR="00F90EB7" w:rsidRDefault="00F90EB7" w:rsidP="00F90EB7">
      <w:pPr>
        <w:pStyle w:val="Funotentext"/>
      </w:pPr>
      <w:r>
        <w:rPr>
          <w:rStyle w:val="Funotenzeichen"/>
        </w:rPr>
        <w:footnoteRef/>
      </w:r>
      <w:r>
        <w:tab/>
      </w:r>
      <w:r>
        <w:rPr>
          <w:spacing w:val="-2"/>
        </w:rPr>
        <w:t>Lohnsteuer-</w:t>
      </w:r>
      <w:r>
        <w:rPr>
          <w:b/>
          <w:spacing w:val="-2"/>
        </w:rPr>
        <w:t>Anmeldungen</w:t>
      </w:r>
      <w:r>
        <w:rPr>
          <w:spacing w:val="-2"/>
        </w:rPr>
        <w:t xml:space="preserve"> bzw. Umsatzsteuer-</w:t>
      </w:r>
      <w:r>
        <w:rPr>
          <w:b/>
          <w:spacing w:val="-2"/>
        </w:rPr>
        <w:t>Voranmeldungen</w:t>
      </w:r>
      <w:r>
        <w:rPr>
          <w:spacing w:val="-2"/>
        </w:rPr>
        <w:t xml:space="preserve"> müssen bis zum Fälligkeitstag abgegeben werden, da sonst Verspätungs</w:t>
      </w:r>
      <w:r>
        <w:rPr>
          <w:spacing w:val="-2"/>
        </w:rPr>
        <w:softHyphen/>
        <w:t>zuschläge entstehen können.</w:t>
      </w:r>
    </w:p>
  </w:footnote>
  <w:footnote w:id="2">
    <w:p w14:paraId="2E351B79" w14:textId="2DACE441" w:rsidR="00915BCE" w:rsidRDefault="00915BCE">
      <w:pPr>
        <w:pStyle w:val="Funotentext"/>
      </w:pPr>
      <w:r>
        <w:rPr>
          <w:rStyle w:val="Funotenzeichen"/>
        </w:rPr>
        <w:footnoteRef/>
      </w:r>
      <w:r>
        <w:t xml:space="preserve"> </w:t>
      </w:r>
      <w:r>
        <w:tab/>
      </w:r>
      <w:r w:rsidRPr="00915BCE">
        <w:t>Die Fälligkeit verschiebt sich auf den 14.04., weil der 10.04. Karfreitag ist.</w:t>
      </w:r>
    </w:p>
  </w:footnote>
  <w:footnote w:id="3">
    <w:p w14:paraId="402228F1" w14:textId="13FD443E" w:rsidR="00F90EB7" w:rsidRDefault="00F90EB7" w:rsidP="00F90EB7">
      <w:pPr>
        <w:pStyle w:val="Funotentext"/>
      </w:pPr>
      <w:r>
        <w:rPr>
          <w:rStyle w:val="Funotenzeichen"/>
        </w:rPr>
        <w:footnoteRef/>
      </w:r>
      <w:r>
        <w:tab/>
      </w:r>
      <w:r w:rsidR="00915BCE" w:rsidRPr="00915BCE">
        <w:t>Für den abgelaufenen Monat. Falls vierteljährlich gezahlt wird, für das abgelaufene Kalendervierteljahr.</w:t>
      </w:r>
    </w:p>
  </w:footnote>
  <w:footnote w:id="4">
    <w:p w14:paraId="2822F0F2" w14:textId="5565CB94" w:rsidR="00F90EB7" w:rsidRDefault="00F90EB7" w:rsidP="00F90EB7">
      <w:pPr>
        <w:pStyle w:val="Funotentext"/>
      </w:pPr>
      <w:r>
        <w:rPr>
          <w:rStyle w:val="Funotenzeichen"/>
        </w:rPr>
        <w:footnoteRef/>
      </w:r>
      <w:r>
        <w:tab/>
      </w:r>
      <w:r w:rsidR="00915BCE" w:rsidRPr="00915BCE">
        <w:t>Für den abgelaufenen Monat; bei Dauerfristverlängerung für den vorletzten Monat. Falls vierteljährlich ohne Dauerfristverlängerung gezahlt wird, für das abgelaufene Kalendervierteljahr.</w:t>
      </w:r>
    </w:p>
  </w:footnote>
  <w:footnote w:id="5">
    <w:p w14:paraId="0BE06E9F" w14:textId="40B76BB1" w:rsidR="00915BCE" w:rsidRDefault="00915BCE">
      <w:pPr>
        <w:pStyle w:val="Funotentext"/>
      </w:pPr>
      <w:r>
        <w:rPr>
          <w:rStyle w:val="Funotenzeichen"/>
        </w:rPr>
        <w:footnoteRef/>
      </w:r>
      <w:r>
        <w:t xml:space="preserve"> </w:t>
      </w:r>
      <w:r>
        <w:tab/>
      </w:r>
      <w:r w:rsidRPr="00915BCE">
        <w:t>Vgl. Urteil vom 09.07.2002 IX R 65/00 (BStBl 2003 II S. 389).</w:t>
      </w:r>
    </w:p>
  </w:footnote>
  <w:footnote w:id="6">
    <w:p w14:paraId="5EA4AE49" w14:textId="183C9BFE" w:rsidR="00915BCE" w:rsidRDefault="00794E35">
      <w:pPr>
        <w:pStyle w:val="Funotentext"/>
      </w:pPr>
      <w:r>
        <w:t> </w:t>
      </w:r>
      <w:r w:rsidR="00915BCE">
        <w:rPr>
          <w:rStyle w:val="Funotenzeichen"/>
        </w:rPr>
        <w:footnoteRef/>
      </w:r>
      <w:r w:rsidR="00915BCE">
        <w:t xml:space="preserve"> </w:t>
      </w:r>
      <w:r w:rsidR="00915BCE">
        <w:tab/>
      </w:r>
      <w:r w:rsidR="00915BCE" w:rsidRPr="00915BCE">
        <w:t>Urteil vom 12.03.2019 IX R 2/18 (BFH/NV 2019 S. 1073).</w:t>
      </w:r>
    </w:p>
  </w:footnote>
  <w:footnote w:id="7">
    <w:p w14:paraId="76A60741" w14:textId="7866DDFA" w:rsidR="00794E35" w:rsidRDefault="00794E35">
      <w:pPr>
        <w:pStyle w:val="Funotentext"/>
      </w:pPr>
      <w:r>
        <w:t> </w:t>
      </w:r>
      <w:r>
        <w:rPr>
          <w:rStyle w:val="Funotenzeichen"/>
        </w:rPr>
        <w:footnoteRef/>
      </w:r>
      <w:r>
        <w:t xml:space="preserve"> </w:t>
      </w:r>
      <w:r>
        <w:tab/>
      </w:r>
      <w:r w:rsidRPr="00794E35">
        <w:t>Siehe dazu Abschn. 15.2c Abs. 14 ff. UStAE.</w:t>
      </w:r>
    </w:p>
  </w:footnote>
  <w:footnote w:id="8">
    <w:p w14:paraId="598AB569" w14:textId="62F9CE04" w:rsidR="00794E35" w:rsidRDefault="00794E35">
      <w:pPr>
        <w:pStyle w:val="Funotentext"/>
      </w:pPr>
      <w:r>
        <w:t> </w:t>
      </w:r>
      <w:r>
        <w:rPr>
          <w:rStyle w:val="Funotenzeichen"/>
        </w:rPr>
        <w:footnoteRef/>
      </w:r>
      <w:r>
        <w:t xml:space="preserve"> </w:t>
      </w:r>
      <w:r>
        <w:tab/>
      </w:r>
      <w:r w:rsidRPr="00794E35">
        <w:t>Beschluss vom 18.09.2019 XI R 3/19.</w:t>
      </w:r>
    </w:p>
  </w:footnote>
  <w:footnote w:id="9">
    <w:p w14:paraId="476AC4A4" w14:textId="3BD54B8B" w:rsidR="00794E35" w:rsidRDefault="00794E35">
      <w:pPr>
        <w:pStyle w:val="Funotentext"/>
      </w:pPr>
      <w:r>
        <w:t> </w:t>
      </w:r>
      <w:r>
        <w:rPr>
          <w:rStyle w:val="Funotenzeichen"/>
        </w:rPr>
        <w:footnoteRef/>
      </w:r>
      <w:r>
        <w:t xml:space="preserve"> </w:t>
      </w:r>
      <w:r>
        <w:tab/>
      </w:r>
      <w:r w:rsidRPr="00794E35">
        <w:t>Siehe § 13 Abs. 1 Nr. 4c Satz 1 ErbStG.</w:t>
      </w:r>
    </w:p>
  </w:footnote>
  <w:footnote w:id="10">
    <w:p w14:paraId="751E3B74" w14:textId="2E077300" w:rsidR="00794E35" w:rsidRDefault="00794E35">
      <w:pPr>
        <w:pStyle w:val="Funotentext"/>
      </w:pPr>
      <w:r>
        <w:rPr>
          <w:rStyle w:val="Funotenzeichen"/>
        </w:rPr>
        <w:footnoteRef/>
      </w:r>
      <w:r>
        <w:t xml:space="preserve"> </w:t>
      </w:r>
      <w:r>
        <w:tab/>
      </w:r>
      <w:r w:rsidRPr="00794E35">
        <w:t>Vgl. BFH-Urteile vom 23.06.2015 II R 39/13 (BStBl 2016 II S. 225) und vom 28.05.2019 II R 37/16 (BStBl 2019 II S. 678).</w:t>
      </w:r>
    </w:p>
  </w:footnote>
  <w:footnote w:id="11">
    <w:p w14:paraId="64443EE9" w14:textId="6E3310E9" w:rsidR="00794E35" w:rsidRDefault="00794E35">
      <w:pPr>
        <w:pStyle w:val="Funotentext"/>
      </w:pPr>
      <w:r>
        <w:rPr>
          <w:rStyle w:val="Funotenzeichen"/>
        </w:rPr>
        <w:footnoteRef/>
      </w:r>
      <w:r>
        <w:t xml:space="preserve"> </w:t>
      </w:r>
      <w:r>
        <w:tab/>
      </w:r>
      <w:r w:rsidRPr="00794E35">
        <w:t>Urteil vom 24.10.2019 3 K 3184/17 Erb (EFG 2020 S. 214).</w:t>
      </w:r>
    </w:p>
  </w:footnote>
  <w:footnote w:id="12">
    <w:p w14:paraId="34653FA6" w14:textId="34888092" w:rsidR="00C93D03" w:rsidRDefault="00C93D03">
      <w:pPr>
        <w:pStyle w:val="Funotentext"/>
      </w:pPr>
      <w:r>
        <w:rPr>
          <w:rStyle w:val="Funotenzeichen"/>
        </w:rPr>
        <w:footnoteRef/>
      </w:r>
      <w:r>
        <w:t xml:space="preserve"> </w:t>
      </w:r>
      <w:r>
        <w:tab/>
      </w:r>
      <w:r w:rsidRPr="00C93D03">
        <w:t>Az. des BFH: II R 46/19.</w:t>
      </w:r>
    </w:p>
  </w:footnote>
  <w:footnote w:id="13">
    <w:p w14:paraId="4C0633E4" w14:textId="2C681BF2" w:rsidR="00C93D03" w:rsidRDefault="00C93D03">
      <w:pPr>
        <w:pStyle w:val="Funotentext"/>
      </w:pPr>
      <w:r>
        <w:rPr>
          <w:rStyle w:val="Funotenzeichen"/>
        </w:rPr>
        <w:footnoteRef/>
      </w:r>
      <w:r>
        <w:t xml:space="preserve"> </w:t>
      </w:r>
      <w:r>
        <w:tab/>
      </w:r>
      <w:r w:rsidRPr="00C93D03">
        <w:t>§ 14 Abs. 4 Satz 1 Nr. 5 UStG.</w:t>
      </w:r>
    </w:p>
  </w:footnote>
  <w:footnote w:id="14">
    <w:p w14:paraId="5D8B054E" w14:textId="529503E1" w:rsidR="00C93D03" w:rsidRDefault="00C93D03">
      <w:pPr>
        <w:pStyle w:val="Funotentext"/>
      </w:pPr>
      <w:r>
        <w:rPr>
          <w:rStyle w:val="Funotenzeichen"/>
        </w:rPr>
        <w:footnoteRef/>
      </w:r>
      <w:r>
        <w:t xml:space="preserve"> </w:t>
      </w:r>
      <w:r>
        <w:tab/>
      </w:r>
      <w:r w:rsidRPr="00C93D03">
        <w:t>§ 31 Abs. 1 Satz 2 UStDV.</w:t>
      </w:r>
    </w:p>
  </w:footnote>
  <w:footnote w:id="15">
    <w:p w14:paraId="0EBA7FC0" w14:textId="12D2832A" w:rsidR="00C93D03" w:rsidRDefault="00C93D03">
      <w:pPr>
        <w:pStyle w:val="Funotentext"/>
      </w:pPr>
      <w:r>
        <w:rPr>
          <w:rStyle w:val="Funotenzeichen"/>
        </w:rPr>
        <w:footnoteRef/>
      </w:r>
      <w:r>
        <w:t xml:space="preserve"> </w:t>
      </w:r>
      <w:r>
        <w:tab/>
      </w:r>
      <w:r w:rsidRPr="00C93D03">
        <w:t>Urteil vom 15.09.2016 C-516/14 „</w:t>
      </w:r>
      <w:proofErr w:type="spellStart"/>
      <w:r w:rsidRPr="00C93D03">
        <w:t>Barlis</w:t>
      </w:r>
      <w:proofErr w:type="spellEnd"/>
      <w:r w:rsidRPr="00C93D03">
        <w:t xml:space="preserve"> 06“.</w:t>
      </w:r>
    </w:p>
  </w:footnote>
  <w:footnote w:id="16">
    <w:p w14:paraId="669D7F67" w14:textId="641E393A" w:rsidR="00C93D03" w:rsidRDefault="00C93D03">
      <w:pPr>
        <w:pStyle w:val="Funotentext"/>
      </w:pPr>
      <w:r>
        <w:rPr>
          <w:rStyle w:val="Funotenzeichen"/>
        </w:rPr>
        <w:footnoteRef/>
      </w:r>
      <w:r>
        <w:t xml:space="preserve"> </w:t>
      </w:r>
      <w:r>
        <w:tab/>
      </w:r>
      <w:r w:rsidRPr="00C93D03">
        <w:t>Beschluss vom 05.02.2010 XI B 31/09 (BFH/NV 2010 S. 962).</w:t>
      </w:r>
    </w:p>
  </w:footnote>
  <w:footnote w:id="17">
    <w:p w14:paraId="2F99DBBE" w14:textId="11A250B4" w:rsidR="00C93D03" w:rsidRDefault="00C93D03">
      <w:pPr>
        <w:pStyle w:val="Funotentext"/>
      </w:pPr>
      <w:r>
        <w:rPr>
          <w:rStyle w:val="Funotenzeichen"/>
        </w:rPr>
        <w:footnoteRef/>
      </w:r>
      <w:r>
        <w:t xml:space="preserve"> </w:t>
      </w:r>
      <w:r>
        <w:tab/>
      </w:r>
      <w:r w:rsidRPr="00C93D03">
        <w:t>Urteil vom 15.10.2019 V R 29/19.</w:t>
      </w:r>
    </w:p>
  </w:footnote>
  <w:footnote w:id="18">
    <w:p w14:paraId="091258FC" w14:textId="68721CC8" w:rsidR="00F52E9F" w:rsidRDefault="00F52E9F">
      <w:pPr>
        <w:pStyle w:val="Funotentext"/>
      </w:pPr>
      <w:r>
        <w:rPr>
          <w:rStyle w:val="Funotenzeichen"/>
        </w:rPr>
        <w:footnoteRef/>
      </w:r>
      <w:r>
        <w:t xml:space="preserve"> </w:t>
      </w:r>
      <w:r>
        <w:tab/>
      </w:r>
      <w:r w:rsidRPr="00F52E9F">
        <w:t>Rechtskräftiges Urteil vom 24.10.2019 6 K 35/19 (EFG 2020 S. 189).</w:t>
      </w:r>
    </w:p>
  </w:footnote>
  <w:footnote w:id="19">
    <w:p w14:paraId="606638D5" w14:textId="4AA3FFED" w:rsidR="00702E51" w:rsidRDefault="00702E51">
      <w:pPr>
        <w:pStyle w:val="Funotentext"/>
      </w:pPr>
      <w:r>
        <w:rPr>
          <w:rStyle w:val="Funotenzeichen"/>
        </w:rPr>
        <w:footnoteRef/>
      </w:r>
      <w:r>
        <w:t xml:space="preserve"> </w:t>
      </w:r>
      <w:r>
        <w:tab/>
      </w:r>
      <w:r w:rsidRPr="00702E51">
        <w:t xml:space="preserve">Bei Kirchensteuerpflicht ermäßigt sich die Abgeltungsteuer (siehe § 32d Abs. 1 Sätze 3 ff. EStG); der </w:t>
      </w:r>
      <w:r w:rsidRPr="00702E51">
        <w:rPr>
          <w:b/>
          <w:bCs/>
        </w:rPr>
        <w:t>ermäßigte</w:t>
      </w:r>
      <w:r w:rsidRPr="00702E51">
        <w:t xml:space="preserve"> </w:t>
      </w:r>
      <w:proofErr w:type="spellStart"/>
      <w:r w:rsidRPr="00702E51">
        <w:t>Abgeltungsteuersatz</w:t>
      </w:r>
      <w:proofErr w:type="spellEnd"/>
      <w:r w:rsidRPr="00702E51">
        <w:t xml:space="preserve"> beträgt bei 9 % Kirchensteuer </w:t>
      </w:r>
      <w:r w:rsidRPr="00702E51">
        <w:rPr>
          <w:b/>
          <w:bCs/>
        </w:rPr>
        <w:t>24,45 %</w:t>
      </w:r>
      <w:r w:rsidRPr="00702E51">
        <w:t xml:space="preserve"> bzw. </w:t>
      </w:r>
      <w:r w:rsidRPr="00702E51">
        <w:rPr>
          <w:b/>
          <w:bCs/>
        </w:rPr>
        <w:t>24,51 %</w:t>
      </w:r>
      <w:r w:rsidRPr="00702E51">
        <w:t xml:space="preserve"> bei 8 % Kirchensteuer.</w:t>
      </w:r>
    </w:p>
  </w:footnote>
  <w:footnote w:id="20">
    <w:p w14:paraId="7061EDA1" w14:textId="3556678B" w:rsidR="00702E51" w:rsidRDefault="00702E51">
      <w:pPr>
        <w:pStyle w:val="Funotentext"/>
      </w:pPr>
      <w:r>
        <w:rPr>
          <w:rStyle w:val="Funotenzeichen"/>
        </w:rPr>
        <w:footnoteRef/>
      </w:r>
      <w:r>
        <w:t xml:space="preserve"> </w:t>
      </w:r>
      <w:r>
        <w:tab/>
      </w:r>
      <w:r w:rsidRPr="00702E51">
        <w:t xml:space="preserve">Soweit der Darlehensnehmer die Zinsen als Werbungskosten/Betriebsausgaben geltend machen kann und ein </w:t>
      </w:r>
      <w:r w:rsidRPr="00702E51">
        <w:rPr>
          <w:b/>
          <w:bCs/>
        </w:rPr>
        <w:t>Beherrschungsverhältnis</w:t>
      </w:r>
      <w:r w:rsidRPr="00702E51">
        <w:t xml:space="preserve"> vorliegt (siehe dazu BMF-Schreiben vom 18.01.2016 – IV C 1 – S 2252/08/10004, BStBl 2016 I S. 85, Rz. 136) oder bei Zinsen an GmbH-</w:t>
      </w:r>
      <w:r w:rsidRPr="00702E51">
        <w:rPr>
          <w:spacing w:val="-2"/>
        </w:rPr>
        <w:t xml:space="preserve">Gesellschafter bzw. deren Angehörige bei </w:t>
      </w:r>
      <w:r w:rsidRPr="00702E51">
        <w:rPr>
          <w:b/>
          <w:bCs/>
          <w:spacing w:val="-2"/>
        </w:rPr>
        <w:t>mindestens 10</w:t>
      </w:r>
      <w:r w:rsidR="00A334C9">
        <w:rPr>
          <w:b/>
          <w:bCs/>
          <w:spacing w:val="-2"/>
        </w:rPr>
        <w:t> </w:t>
      </w:r>
      <w:r w:rsidRPr="00702E51">
        <w:rPr>
          <w:b/>
          <w:bCs/>
          <w:spacing w:val="-2"/>
        </w:rPr>
        <w:t>%</w:t>
      </w:r>
      <w:proofErr w:type="spellStart"/>
      <w:r w:rsidRPr="00702E51">
        <w:rPr>
          <w:b/>
          <w:bCs/>
          <w:spacing w:val="-2"/>
        </w:rPr>
        <w:t>iger</w:t>
      </w:r>
      <w:proofErr w:type="spellEnd"/>
      <w:r w:rsidRPr="00702E51">
        <w:rPr>
          <w:b/>
          <w:bCs/>
          <w:spacing w:val="-2"/>
        </w:rPr>
        <w:t xml:space="preserve"> Beteiligung</w:t>
      </w:r>
      <w:r w:rsidRPr="00702E51">
        <w:rPr>
          <w:spacing w:val="-2"/>
        </w:rPr>
        <w:t xml:space="preserve"> gilt für entsprechende Kapitalerträge der </w:t>
      </w:r>
      <w:r w:rsidRPr="00702E51">
        <w:rPr>
          <w:b/>
          <w:bCs/>
          <w:spacing w:val="-2"/>
        </w:rPr>
        <w:t>persönliche</w:t>
      </w:r>
      <w:r w:rsidRPr="00702E51">
        <w:rPr>
          <w:spacing w:val="-2"/>
        </w:rPr>
        <w:t xml:space="preserve"> Ein</w:t>
      </w:r>
      <w:r w:rsidRPr="00702E51">
        <w:rPr>
          <w:spacing w:val="-2"/>
        </w:rPr>
        <w:softHyphen/>
        <w:t>kom</w:t>
      </w:r>
      <w:r w:rsidRPr="00702E51">
        <w:rPr>
          <w:spacing w:val="-2"/>
        </w:rPr>
        <w:softHyphen/>
        <w:t>mensteuersatz</w:t>
      </w:r>
      <w:r w:rsidRPr="00702E51">
        <w:t>.</w:t>
      </w:r>
    </w:p>
  </w:footnote>
  <w:footnote w:id="21">
    <w:p w14:paraId="0F47A064" w14:textId="190D0FE5" w:rsidR="00702E51" w:rsidRDefault="00702E51">
      <w:pPr>
        <w:pStyle w:val="Funotentext"/>
      </w:pPr>
      <w:r>
        <w:rPr>
          <w:rStyle w:val="Funotenzeichen"/>
        </w:rPr>
        <w:footnoteRef/>
      </w:r>
      <w:r>
        <w:t xml:space="preserve"> </w:t>
      </w:r>
      <w:r>
        <w:tab/>
      </w:r>
      <w:r w:rsidRPr="00702E51">
        <w:t>Vgl. § 51a Abs. 2e EStG.</w:t>
      </w:r>
    </w:p>
  </w:footnote>
  <w:footnote w:id="22">
    <w:p w14:paraId="17C6FA2F" w14:textId="7E8E4AE9" w:rsidR="00702E51" w:rsidRDefault="00702E51">
      <w:pPr>
        <w:pStyle w:val="Funotentext"/>
      </w:pPr>
      <w:r>
        <w:rPr>
          <w:rStyle w:val="Funotenzeichen"/>
        </w:rPr>
        <w:footnoteRef/>
      </w:r>
      <w:r>
        <w:t xml:space="preserve"> </w:t>
      </w:r>
      <w:r>
        <w:tab/>
      </w:r>
      <w:r w:rsidRPr="00702E51">
        <w:t>Siehe § 51a Abs. 2d EStG.</w:t>
      </w:r>
    </w:p>
  </w:footnote>
  <w:footnote w:id="23">
    <w:p w14:paraId="41BE5113" w14:textId="370232D9" w:rsidR="00702E51" w:rsidRDefault="00702E51">
      <w:pPr>
        <w:pStyle w:val="Funotentext"/>
      </w:pPr>
      <w:r>
        <w:rPr>
          <w:rStyle w:val="Funotenzeichen"/>
        </w:rPr>
        <w:footnoteRef/>
      </w:r>
      <w:r>
        <w:t xml:space="preserve"> </w:t>
      </w:r>
      <w:r>
        <w:tab/>
      </w:r>
      <w:r w:rsidRPr="00702E51">
        <w:t xml:space="preserve">Insbesondere denkbar bei einem zu versteuernden Einkommen bis zu ca. 16.000 </w:t>
      </w:r>
      <w:r>
        <w:t>€</w:t>
      </w:r>
      <w:r w:rsidRPr="00702E51">
        <w:t xml:space="preserve"> (Ehepartner: 32.000 </w:t>
      </w:r>
      <w:r>
        <w:t>€</w:t>
      </w:r>
      <w:r w:rsidRPr="00702E51">
        <w:t>).</w:t>
      </w:r>
    </w:p>
  </w:footnote>
  <w:footnote w:id="24">
    <w:p w14:paraId="72DE7F9F" w14:textId="714C13CC" w:rsidR="00702E51" w:rsidRDefault="00702E51">
      <w:pPr>
        <w:pStyle w:val="Funotentext"/>
      </w:pPr>
      <w:r>
        <w:rPr>
          <w:rStyle w:val="Funotenzeichen"/>
        </w:rPr>
        <w:footnoteRef/>
      </w:r>
      <w:r>
        <w:t xml:space="preserve"> </w:t>
      </w:r>
      <w:r>
        <w:tab/>
      </w:r>
      <w:r w:rsidRPr="00702E51">
        <w:t>Siehe hierzu § 32d Abs. 2 Nr. 3 EStG.</w:t>
      </w:r>
    </w:p>
  </w:footnote>
  <w:footnote w:id="25">
    <w:p w14:paraId="216F091D" w14:textId="7802F10D" w:rsidR="00702E51" w:rsidRDefault="00702E51">
      <w:pPr>
        <w:pStyle w:val="Funotentext"/>
      </w:pPr>
      <w:r>
        <w:rPr>
          <w:rStyle w:val="Funotenzeichen"/>
        </w:rPr>
        <w:footnoteRef/>
      </w:r>
      <w:r>
        <w:t xml:space="preserve"> </w:t>
      </w:r>
      <w:r>
        <w:tab/>
      </w:r>
      <w:r w:rsidRPr="00702E51">
        <w:t>Vgl. § 43a Abs. 3 Sätze 4 und 5 EStG. Zu beachten ist dabei, dass bei seit 2009 angeschafften Aktien Veräußerungsverluste grundsätzlich nur mit Veräußerungsgewinnen aus Aktienverkäufen verrechnet werden dürfen.</w:t>
      </w:r>
    </w:p>
  </w:footnote>
  <w:footnote w:id="26">
    <w:p w14:paraId="088A2CAE" w14:textId="6517E589" w:rsidR="00702E51" w:rsidRDefault="00702E51">
      <w:pPr>
        <w:pStyle w:val="Funotentext"/>
      </w:pPr>
      <w:r>
        <w:rPr>
          <w:rStyle w:val="Funotenzeichen"/>
        </w:rPr>
        <w:footnoteRef/>
      </w:r>
      <w:r>
        <w:t xml:space="preserve"> </w:t>
      </w:r>
      <w:r>
        <w:tab/>
      </w:r>
      <w:r w:rsidRPr="00702E51">
        <w:t>Das Abzugsverbot für tatsächlich entstandene Werbungskosten im Rahmen der Günstigerprüfung ist verfassungsrechtlich nicht zu bean</w:t>
      </w:r>
      <w:r>
        <w:softHyphen/>
      </w:r>
      <w:r w:rsidRPr="00702E51">
        <w:t>standen; vgl. BFH-Urteil vom 28.01.2015 VIII R 13/13 (BStBl 2015 II S. 393).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01B6"/>
    <w:multiLevelType w:val="hybridMultilevel"/>
    <w:tmpl w:val="9DBEEE96"/>
    <w:lvl w:ilvl="0" w:tplc="BFD86282">
      <w:start w:val="2"/>
      <w:numFmt w:val="bullet"/>
      <w:lvlText w:val="–"/>
      <w:lvlJc w:val="left"/>
      <w:pPr>
        <w:ind w:left="927" w:hanging="360"/>
      </w:pPr>
      <w:rPr>
        <w:rFonts w:ascii="Minion Pro" w:eastAsia="Times New Roman" w:hAnsi="Minion Pro"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73554575"/>
    <w:multiLevelType w:val="hybridMultilevel"/>
    <w:tmpl w:val="D99EFC58"/>
    <w:lvl w:ilvl="0" w:tplc="40C40818">
      <w:start w:val="10"/>
      <w:numFmt w:val="bullet"/>
      <w:lvlText w:val="•"/>
      <w:lvlJc w:val="left"/>
      <w:pPr>
        <w:ind w:left="927" w:hanging="360"/>
      </w:pPr>
      <w:rPr>
        <w:rFonts w:ascii="Minion Pro" w:eastAsia="Times New Roman" w:hAnsi="Minion Pro"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attachedTemplate r:id="rId1"/>
  <w:defaultTabStop w:val="4253"/>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style="mso-position-horizontal-relative:page" fillcolor="silver" stroke="f">
      <v:fill color="silver"/>
      <v:stroke on="f"/>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350"/>
    <w:rsid w:val="00007BAE"/>
    <w:rsid w:val="00015FFA"/>
    <w:rsid w:val="00017472"/>
    <w:rsid w:val="0004012B"/>
    <w:rsid w:val="0005256D"/>
    <w:rsid w:val="000564F2"/>
    <w:rsid w:val="000620CB"/>
    <w:rsid w:val="00090DF5"/>
    <w:rsid w:val="0009580D"/>
    <w:rsid w:val="000A3A3E"/>
    <w:rsid w:val="000B4436"/>
    <w:rsid w:val="000D6780"/>
    <w:rsid w:val="000E283E"/>
    <w:rsid w:val="000E3D5D"/>
    <w:rsid w:val="000E53BA"/>
    <w:rsid w:val="000F2D25"/>
    <w:rsid w:val="00146351"/>
    <w:rsid w:val="0015537B"/>
    <w:rsid w:val="001572A3"/>
    <w:rsid w:val="001920F1"/>
    <w:rsid w:val="0019347A"/>
    <w:rsid w:val="001952AB"/>
    <w:rsid w:val="0019606D"/>
    <w:rsid w:val="001B2034"/>
    <w:rsid w:val="001B52D6"/>
    <w:rsid w:val="001C1874"/>
    <w:rsid w:val="001C3F2F"/>
    <w:rsid w:val="001C54BA"/>
    <w:rsid w:val="001D1381"/>
    <w:rsid w:val="001D4069"/>
    <w:rsid w:val="001E3DBB"/>
    <w:rsid w:val="00221861"/>
    <w:rsid w:val="00222548"/>
    <w:rsid w:val="00224FB5"/>
    <w:rsid w:val="00240435"/>
    <w:rsid w:val="0024284B"/>
    <w:rsid w:val="002605A5"/>
    <w:rsid w:val="00260D7D"/>
    <w:rsid w:val="00266522"/>
    <w:rsid w:val="00273719"/>
    <w:rsid w:val="002861DC"/>
    <w:rsid w:val="002908A1"/>
    <w:rsid w:val="002B17E5"/>
    <w:rsid w:val="002B5ED3"/>
    <w:rsid w:val="002B633A"/>
    <w:rsid w:val="002B678F"/>
    <w:rsid w:val="002C251A"/>
    <w:rsid w:val="002C4F69"/>
    <w:rsid w:val="002D4938"/>
    <w:rsid w:val="002E2F0E"/>
    <w:rsid w:val="002E3117"/>
    <w:rsid w:val="00303DCE"/>
    <w:rsid w:val="003049B8"/>
    <w:rsid w:val="00305592"/>
    <w:rsid w:val="003214AB"/>
    <w:rsid w:val="003241ED"/>
    <w:rsid w:val="00344720"/>
    <w:rsid w:val="0035314C"/>
    <w:rsid w:val="003737B3"/>
    <w:rsid w:val="003816B6"/>
    <w:rsid w:val="003867A6"/>
    <w:rsid w:val="00395E69"/>
    <w:rsid w:val="003A563F"/>
    <w:rsid w:val="003B1C5B"/>
    <w:rsid w:val="003C3B18"/>
    <w:rsid w:val="003C4F41"/>
    <w:rsid w:val="003C7EEA"/>
    <w:rsid w:val="003D6F80"/>
    <w:rsid w:val="003E0069"/>
    <w:rsid w:val="003E4217"/>
    <w:rsid w:val="003F4C61"/>
    <w:rsid w:val="0041263E"/>
    <w:rsid w:val="00421B3F"/>
    <w:rsid w:val="0042557F"/>
    <w:rsid w:val="00453C17"/>
    <w:rsid w:val="00461461"/>
    <w:rsid w:val="00490433"/>
    <w:rsid w:val="004A6F2C"/>
    <w:rsid w:val="004A6FCF"/>
    <w:rsid w:val="004C23F1"/>
    <w:rsid w:val="004D0FE3"/>
    <w:rsid w:val="004D6108"/>
    <w:rsid w:val="00500342"/>
    <w:rsid w:val="0051671E"/>
    <w:rsid w:val="00530E64"/>
    <w:rsid w:val="00534095"/>
    <w:rsid w:val="00536F7F"/>
    <w:rsid w:val="00551B6F"/>
    <w:rsid w:val="00553A36"/>
    <w:rsid w:val="005568A3"/>
    <w:rsid w:val="0056340F"/>
    <w:rsid w:val="00565499"/>
    <w:rsid w:val="00572122"/>
    <w:rsid w:val="00582CC1"/>
    <w:rsid w:val="00586823"/>
    <w:rsid w:val="005A09F1"/>
    <w:rsid w:val="005A58DE"/>
    <w:rsid w:val="005B3A07"/>
    <w:rsid w:val="005B5C61"/>
    <w:rsid w:val="005C4FEC"/>
    <w:rsid w:val="005D0240"/>
    <w:rsid w:val="005D7898"/>
    <w:rsid w:val="005E52F4"/>
    <w:rsid w:val="005F2219"/>
    <w:rsid w:val="005F2D89"/>
    <w:rsid w:val="005F43BD"/>
    <w:rsid w:val="005F46EA"/>
    <w:rsid w:val="00606209"/>
    <w:rsid w:val="00614FEA"/>
    <w:rsid w:val="0062207F"/>
    <w:rsid w:val="006272AC"/>
    <w:rsid w:val="00631BAF"/>
    <w:rsid w:val="006436B8"/>
    <w:rsid w:val="006466C0"/>
    <w:rsid w:val="0065714D"/>
    <w:rsid w:val="00694D1D"/>
    <w:rsid w:val="006D6C03"/>
    <w:rsid w:val="00702E51"/>
    <w:rsid w:val="00703692"/>
    <w:rsid w:val="00723DBD"/>
    <w:rsid w:val="00733E1D"/>
    <w:rsid w:val="00750655"/>
    <w:rsid w:val="00761971"/>
    <w:rsid w:val="00782201"/>
    <w:rsid w:val="00782463"/>
    <w:rsid w:val="007943E9"/>
    <w:rsid w:val="00794E35"/>
    <w:rsid w:val="00796C6B"/>
    <w:rsid w:val="007B7640"/>
    <w:rsid w:val="007C0D3A"/>
    <w:rsid w:val="007C54F2"/>
    <w:rsid w:val="007C771C"/>
    <w:rsid w:val="007D2073"/>
    <w:rsid w:val="007D2474"/>
    <w:rsid w:val="007E2FD3"/>
    <w:rsid w:val="007E5404"/>
    <w:rsid w:val="007F1296"/>
    <w:rsid w:val="007F4C1E"/>
    <w:rsid w:val="00807772"/>
    <w:rsid w:val="00810434"/>
    <w:rsid w:val="00817633"/>
    <w:rsid w:val="008218DF"/>
    <w:rsid w:val="008242C0"/>
    <w:rsid w:val="00827A43"/>
    <w:rsid w:val="00833A1C"/>
    <w:rsid w:val="00850753"/>
    <w:rsid w:val="00852E79"/>
    <w:rsid w:val="008573D8"/>
    <w:rsid w:val="00867DB7"/>
    <w:rsid w:val="008A0EBE"/>
    <w:rsid w:val="008A1890"/>
    <w:rsid w:val="008A42F4"/>
    <w:rsid w:val="008F26FB"/>
    <w:rsid w:val="008F48C3"/>
    <w:rsid w:val="008F5C91"/>
    <w:rsid w:val="00900593"/>
    <w:rsid w:val="00915BCE"/>
    <w:rsid w:val="00930841"/>
    <w:rsid w:val="009512E7"/>
    <w:rsid w:val="00952066"/>
    <w:rsid w:val="009548A3"/>
    <w:rsid w:val="0095648F"/>
    <w:rsid w:val="009762D5"/>
    <w:rsid w:val="0098267E"/>
    <w:rsid w:val="00992294"/>
    <w:rsid w:val="009B2E73"/>
    <w:rsid w:val="009C6EBD"/>
    <w:rsid w:val="009D058F"/>
    <w:rsid w:val="009D7E10"/>
    <w:rsid w:val="009E19E6"/>
    <w:rsid w:val="009E74A9"/>
    <w:rsid w:val="009F3975"/>
    <w:rsid w:val="009F6058"/>
    <w:rsid w:val="00A04DCE"/>
    <w:rsid w:val="00A10219"/>
    <w:rsid w:val="00A11643"/>
    <w:rsid w:val="00A165A2"/>
    <w:rsid w:val="00A1764E"/>
    <w:rsid w:val="00A331FF"/>
    <w:rsid w:val="00A334C9"/>
    <w:rsid w:val="00A4148F"/>
    <w:rsid w:val="00A43B53"/>
    <w:rsid w:val="00A6491D"/>
    <w:rsid w:val="00A64C64"/>
    <w:rsid w:val="00A65276"/>
    <w:rsid w:val="00A67470"/>
    <w:rsid w:val="00A818BD"/>
    <w:rsid w:val="00A94352"/>
    <w:rsid w:val="00AA48FF"/>
    <w:rsid w:val="00AB0FD6"/>
    <w:rsid w:val="00AB2713"/>
    <w:rsid w:val="00AC2943"/>
    <w:rsid w:val="00AC4AFA"/>
    <w:rsid w:val="00AC5F82"/>
    <w:rsid w:val="00AD322C"/>
    <w:rsid w:val="00AE14C0"/>
    <w:rsid w:val="00B0343E"/>
    <w:rsid w:val="00B12873"/>
    <w:rsid w:val="00B415AF"/>
    <w:rsid w:val="00B44F0D"/>
    <w:rsid w:val="00B83259"/>
    <w:rsid w:val="00B92121"/>
    <w:rsid w:val="00BA4142"/>
    <w:rsid w:val="00BA49E6"/>
    <w:rsid w:val="00BA526F"/>
    <w:rsid w:val="00BA6045"/>
    <w:rsid w:val="00BB0E3F"/>
    <w:rsid w:val="00BB3A45"/>
    <w:rsid w:val="00BD1AC0"/>
    <w:rsid w:val="00BD46D3"/>
    <w:rsid w:val="00BD5C47"/>
    <w:rsid w:val="00BF7E0D"/>
    <w:rsid w:val="00C043BA"/>
    <w:rsid w:val="00C06C5D"/>
    <w:rsid w:val="00C074ED"/>
    <w:rsid w:val="00C1721F"/>
    <w:rsid w:val="00C249DD"/>
    <w:rsid w:val="00C31049"/>
    <w:rsid w:val="00C40703"/>
    <w:rsid w:val="00C42868"/>
    <w:rsid w:val="00C476B3"/>
    <w:rsid w:val="00C82E24"/>
    <w:rsid w:val="00C93D03"/>
    <w:rsid w:val="00C96D2C"/>
    <w:rsid w:val="00C977B4"/>
    <w:rsid w:val="00CC3A39"/>
    <w:rsid w:val="00CD031C"/>
    <w:rsid w:val="00CD04EA"/>
    <w:rsid w:val="00CF6FD6"/>
    <w:rsid w:val="00D05B5A"/>
    <w:rsid w:val="00D1167E"/>
    <w:rsid w:val="00D13DB0"/>
    <w:rsid w:val="00D36F4D"/>
    <w:rsid w:val="00D52E90"/>
    <w:rsid w:val="00D53E5E"/>
    <w:rsid w:val="00D61D9A"/>
    <w:rsid w:val="00D83A5E"/>
    <w:rsid w:val="00D916D9"/>
    <w:rsid w:val="00D929E1"/>
    <w:rsid w:val="00D95D68"/>
    <w:rsid w:val="00DA19B8"/>
    <w:rsid w:val="00DB4757"/>
    <w:rsid w:val="00DB558F"/>
    <w:rsid w:val="00DF1900"/>
    <w:rsid w:val="00DF23EF"/>
    <w:rsid w:val="00E0132A"/>
    <w:rsid w:val="00E06341"/>
    <w:rsid w:val="00E11384"/>
    <w:rsid w:val="00E12057"/>
    <w:rsid w:val="00E13616"/>
    <w:rsid w:val="00E33F52"/>
    <w:rsid w:val="00E342A4"/>
    <w:rsid w:val="00E4787B"/>
    <w:rsid w:val="00E51350"/>
    <w:rsid w:val="00E538F3"/>
    <w:rsid w:val="00E6093C"/>
    <w:rsid w:val="00E70B4E"/>
    <w:rsid w:val="00E747AC"/>
    <w:rsid w:val="00E74D39"/>
    <w:rsid w:val="00EB59CC"/>
    <w:rsid w:val="00ED6F21"/>
    <w:rsid w:val="00EE0983"/>
    <w:rsid w:val="00EE7C00"/>
    <w:rsid w:val="00F0187B"/>
    <w:rsid w:val="00F0398A"/>
    <w:rsid w:val="00F0703E"/>
    <w:rsid w:val="00F25EB2"/>
    <w:rsid w:val="00F47B31"/>
    <w:rsid w:val="00F52E9F"/>
    <w:rsid w:val="00F65999"/>
    <w:rsid w:val="00F844CC"/>
    <w:rsid w:val="00F90EB7"/>
    <w:rsid w:val="00F9228D"/>
    <w:rsid w:val="00F93635"/>
    <w:rsid w:val="00FB7CD1"/>
    <w:rsid w:val="00FD2EF5"/>
    <w:rsid w:val="00FE1895"/>
    <w:rsid w:val="00FE6AC5"/>
    <w:rsid w:val="00FF6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 fillcolor="silver" stroke="f">
      <v:fill color="silver"/>
      <v:stroke on="f"/>
    </o:shapedefaults>
    <o:shapelayout v:ext="edit">
      <o:idmap v:ext="edit" data="1"/>
    </o:shapelayout>
  </w:shapeDefaults>
  <w:decimalSymbol w:val=","/>
  <w:listSeparator w:val=";"/>
  <w14:docId w14:val="74CDE988"/>
  <w15:docId w15:val="{F94D4B9C-3743-4444-9338-FE96F676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3" w:line="225" w:lineRule="exact"/>
      <w:ind w:left="567"/>
      <w:jc w:val="both"/>
    </w:pPr>
    <w:rPr>
      <w:rFonts w:ascii="Minion Pro" w:hAnsi="Minion Pro"/>
      <w:sz w:val="21"/>
    </w:rPr>
  </w:style>
  <w:style w:type="paragraph" w:styleId="berschrift1">
    <w:name w:val="heading 1"/>
    <w:basedOn w:val="Standard"/>
    <w:next w:val="Standard"/>
    <w:qFormat/>
    <w:pPr>
      <w:keepNext/>
      <w:tabs>
        <w:tab w:val="right" w:pos="454"/>
        <w:tab w:val="left" w:pos="567"/>
      </w:tabs>
      <w:spacing w:before="480" w:after="180" w:line="255" w:lineRule="exact"/>
      <w:ind w:hanging="567"/>
      <w:jc w:val="left"/>
      <w:outlineLvl w:val="0"/>
    </w:pPr>
    <w:rPr>
      <w:rFonts w:cs="Arial"/>
      <w:b/>
      <w:bCs/>
      <w:kern w:val="32"/>
      <w:sz w:val="24"/>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semiHidden/>
    <w:pPr>
      <w:spacing w:line="240" w:lineRule="auto"/>
      <w:ind w:left="0"/>
    </w:pPr>
    <w:rPr>
      <w:rFonts w:ascii="Courier" w:hAnsi="Courier"/>
      <w:sz w:val="24"/>
    </w:rPr>
  </w:style>
  <w:style w:type="paragraph" w:styleId="Funotentext">
    <w:name w:val="footnote text"/>
    <w:basedOn w:val="Standard"/>
    <w:link w:val="FunotentextZchn"/>
    <w:semiHidden/>
    <w:pPr>
      <w:spacing w:after="25" w:line="170" w:lineRule="exact"/>
      <w:ind w:left="822" w:hanging="255"/>
    </w:pPr>
    <w:rPr>
      <w:sz w:val="16"/>
    </w:rPr>
  </w:style>
  <w:style w:type="character" w:customStyle="1" w:styleId="Ueber1Zahl">
    <w:name w:val="Ueber.1.Zahl"/>
    <w:rPr>
      <w:sz w:val="50"/>
    </w:rPr>
  </w:style>
  <w:style w:type="paragraph" w:customStyle="1" w:styleId="Inhalt">
    <w:name w:val="Inhalt"/>
    <w:basedOn w:val="Standard"/>
    <w:pPr>
      <w:spacing w:after="30" w:line="170" w:lineRule="exact"/>
      <w:ind w:left="822" w:hanging="255"/>
    </w:pPr>
    <w:rPr>
      <w:sz w:val="17"/>
    </w:rPr>
  </w:style>
  <w:style w:type="paragraph" w:customStyle="1" w:styleId="Beispiel">
    <w:name w:val="Beispiel"/>
    <w:basedOn w:val="Standard"/>
    <w:pPr>
      <w:spacing w:line="180" w:lineRule="exact"/>
      <w:ind w:left="624" w:right="57"/>
    </w:pPr>
    <w:rPr>
      <w:sz w:val="17"/>
    </w:rPr>
  </w:style>
  <w:style w:type="character" w:styleId="Funotenzeichen">
    <w:name w:val="footnote reference"/>
    <w:semiHidden/>
    <w:rPr>
      <w:rFonts w:ascii="Minion Pro" w:hAnsi="Minion Pro"/>
      <w:vertAlign w:val="superscript"/>
    </w:rPr>
  </w:style>
  <w:style w:type="paragraph" w:styleId="Fuzeile">
    <w:name w:val="footer"/>
    <w:basedOn w:val="Standard"/>
    <w:semiHidden/>
    <w:pPr>
      <w:tabs>
        <w:tab w:val="center" w:pos="4536"/>
        <w:tab w:val="right" w:pos="9072"/>
      </w:tabs>
    </w:pPr>
  </w:style>
  <w:style w:type="paragraph" w:customStyle="1" w:styleId="Faelligkeit">
    <w:name w:val="Faelligkeit"/>
    <w:basedOn w:val="Standard"/>
    <w:pPr>
      <w:tabs>
        <w:tab w:val="center" w:pos="5103"/>
      </w:tabs>
      <w:spacing w:line="180" w:lineRule="exact"/>
      <w:ind w:left="1843" w:hanging="1276"/>
      <w:jc w:val="left"/>
    </w:pPr>
    <w:rPr>
      <w:b/>
      <w:bCs/>
      <w:sz w:val="17"/>
    </w:rPr>
  </w:style>
  <w:style w:type="paragraph" w:styleId="Kopfzeile">
    <w:name w:val="header"/>
    <w:basedOn w:val="Standard"/>
    <w:semiHidden/>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link w:val="SprechblasentextZchn"/>
    <w:uiPriority w:val="99"/>
    <w:semiHidden/>
    <w:unhideWhenUsed/>
    <w:rsid w:val="00E74D3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74D39"/>
    <w:rPr>
      <w:rFonts w:ascii="Tahoma" w:hAnsi="Tahoma" w:cs="Tahoma"/>
      <w:sz w:val="16"/>
      <w:szCs w:val="16"/>
    </w:rPr>
  </w:style>
  <w:style w:type="character" w:customStyle="1" w:styleId="Standard1">
    <w:name w:val="Standard1"/>
    <w:rsid w:val="00530E64"/>
    <w:rPr>
      <w:rFonts w:ascii="Minion" w:hAnsi="Minion"/>
      <w:noProof w:val="0"/>
      <w:sz w:val="21"/>
      <w:lang w:val="de-DE"/>
    </w:rPr>
  </w:style>
  <w:style w:type="character" w:customStyle="1" w:styleId="Bold">
    <w:name w:val="Bold"/>
    <w:rsid w:val="00530E64"/>
    <w:rPr>
      <w:rFonts w:ascii="Minion Black" w:hAnsi="Minion Black"/>
      <w:noProof w:val="0"/>
      <w:sz w:val="21"/>
      <w:lang w:val="de-DE"/>
    </w:rPr>
  </w:style>
  <w:style w:type="paragraph" w:customStyle="1" w:styleId="UeberBeispiel">
    <w:name w:val="Ueber Beispiel"/>
    <w:rsid w:val="00A94352"/>
    <w:pPr>
      <w:keepNext/>
      <w:spacing w:before="85" w:after="42" w:line="180" w:lineRule="exact"/>
      <w:ind w:left="623" w:right="56"/>
      <w:jc w:val="both"/>
    </w:pPr>
    <w:rPr>
      <w:rFonts w:ascii="Minion Bold" w:hAnsi="Minion Bold"/>
      <w:sz w:val="17"/>
    </w:rPr>
  </w:style>
  <w:style w:type="paragraph" w:customStyle="1" w:styleId="Fun">
    <w:name w:val="Fußn."/>
    <w:rsid w:val="00761971"/>
    <w:pPr>
      <w:keepLines/>
      <w:tabs>
        <w:tab w:val="left" w:pos="255"/>
      </w:tabs>
      <w:spacing w:after="42" w:line="170" w:lineRule="exact"/>
      <w:ind w:left="255" w:hanging="256"/>
      <w:jc w:val="both"/>
    </w:pPr>
    <w:rPr>
      <w:rFonts w:ascii="Minion" w:hAnsi="Minion"/>
      <w:sz w:val="16"/>
    </w:rPr>
  </w:style>
  <w:style w:type="table" w:styleId="Tabellenraster">
    <w:name w:val="Table Grid"/>
    <w:basedOn w:val="NormaleTabelle"/>
    <w:uiPriority w:val="59"/>
    <w:rsid w:val="0027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ispielTabelle">
    <w:name w:val="Beispiel Tabelle"/>
    <w:qFormat/>
    <w:rsid w:val="00F65999"/>
    <w:pPr>
      <w:spacing w:after="30" w:line="180" w:lineRule="exact"/>
    </w:pPr>
    <w:rPr>
      <w:rFonts w:ascii="Minion Pro" w:hAnsi="Minion Pro"/>
      <w:sz w:val="17"/>
    </w:rPr>
  </w:style>
  <w:style w:type="character" w:customStyle="1" w:styleId="FunotentextZchn">
    <w:name w:val="Fußnotentext Zchn"/>
    <w:link w:val="Funotentext"/>
    <w:semiHidden/>
    <w:rsid w:val="008F5C91"/>
    <w:rPr>
      <w:rFonts w:ascii="Minion Pro" w:hAnsi="Minion Pro"/>
      <w:sz w:val="16"/>
    </w:rPr>
  </w:style>
  <w:style w:type="paragraph" w:styleId="Listenabsatz">
    <w:name w:val="List Paragraph"/>
    <w:basedOn w:val="Standard"/>
    <w:uiPriority w:val="34"/>
    <w:qFormat/>
    <w:rsid w:val="00E0132A"/>
    <w:pPr>
      <w:ind w:left="720"/>
      <w:contextualSpacing/>
    </w:pPr>
  </w:style>
  <w:style w:type="paragraph" w:styleId="Endnotentext">
    <w:name w:val="endnote text"/>
    <w:basedOn w:val="Standard"/>
    <w:link w:val="EndnotentextZchn"/>
    <w:uiPriority w:val="99"/>
    <w:semiHidden/>
    <w:unhideWhenUsed/>
    <w:rsid w:val="00915BCE"/>
    <w:pPr>
      <w:spacing w:after="0" w:line="240" w:lineRule="auto"/>
    </w:pPr>
    <w:rPr>
      <w:sz w:val="20"/>
    </w:rPr>
  </w:style>
  <w:style w:type="character" w:customStyle="1" w:styleId="EndnotentextZchn">
    <w:name w:val="Endnotentext Zchn"/>
    <w:basedOn w:val="Absatz-Standardschriftart"/>
    <w:link w:val="Endnotentext"/>
    <w:uiPriority w:val="99"/>
    <w:semiHidden/>
    <w:rsid w:val="00915BCE"/>
    <w:rPr>
      <w:rFonts w:ascii="Minion Pro" w:hAnsi="Minion Pro"/>
    </w:rPr>
  </w:style>
  <w:style w:type="character" w:styleId="Endnotenzeichen">
    <w:name w:val="endnote reference"/>
    <w:basedOn w:val="Absatz-Standardschriftart"/>
    <w:uiPriority w:val="99"/>
    <w:semiHidden/>
    <w:unhideWhenUsed/>
    <w:rsid w:val="00915B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th\Desktop\IB_01_2019_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1474-CCFD-415A-BF35-65FA6028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IB_01_2019_1.dotx</Template>
  <TotalTime>0</TotalTime>
  <Pages>4</Pages>
  <Words>1883</Words>
  <Characters>11866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Allgemeine Steuerzahlungstermine im Januar</vt:lpstr>
    </vt:vector>
  </TitlesOfParts>
  <Company>Graph. Betrieb E. Gieseking GmbH</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Steuerzahlungstermine im Januar</dc:title>
  <dc:creator>Huth, Ursula</dc:creator>
  <cp:lastModifiedBy>Modrow@ad.efv</cp:lastModifiedBy>
  <cp:revision>12</cp:revision>
  <cp:lastPrinted>2020-03-13T10:43:00Z</cp:lastPrinted>
  <dcterms:created xsi:type="dcterms:W3CDTF">2020-03-13T07:09:00Z</dcterms:created>
  <dcterms:modified xsi:type="dcterms:W3CDTF">2020-03-13T11:41:00Z</dcterms:modified>
</cp:coreProperties>
</file>