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4A264" w14:textId="77777777" w:rsidR="006D6C03" w:rsidRDefault="005A09F1" w:rsidP="001945F7">
      <w:pPr>
        <w:tabs>
          <w:tab w:val="left" w:pos="993"/>
        </w:tabs>
        <w:spacing w:after="170"/>
        <w:ind w:left="624"/>
        <w:rPr>
          <w:b/>
          <w:bCs/>
        </w:rPr>
      </w:pPr>
      <w:r>
        <w:rPr>
          <w:b/>
          <w:bCs/>
          <w:noProof/>
        </w:rPr>
        <w:drawing>
          <wp:anchor distT="0" distB="0" distL="114300" distR="114300" simplePos="0" relativeHeight="251683840" behindDoc="1" locked="0" layoutInCell="1" allowOverlap="1" wp14:anchorId="174E9535" wp14:editId="3CBEDE28">
            <wp:simplePos x="0" y="0"/>
            <wp:positionH relativeFrom="column">
              <wp:posOffset>320675</wp:posOffset>
            </wp:positionH>
            <wp:positionV relativeFrom="paragraph">
              <wp:posOffset>2649855</wp:posOffset>
            </wp:positionV>
            <wp:extent cx="5767200" cy="288000"/>
            <wp:effectExtent l="0" t="0" r="0" b="0"/>
            <wp:wrapTight wrapText="bothSides">
              <wp:wrapPolygon edited="0">
                <wp:start x="0" y="0"/>
                <wp:lineTo x="0" y="20026"/>
                <wp:lineTo x="21476" y="20026"/>
                <wp:lineTo x="2147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_Schriftzug_03_2020.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7200" cy="288000"/>
                    </a:xfrm>
                    <a:prstGeom prst="rect">
                      <a:avLst/>
                    </a:prstGeom>
                  </pic:spPr>
                </pic:pic>
              </a:graphicData>
            </a:graphic>
            <wp14:sizeRelH relativeFrom="margin">
              <wp14:pctWidth>0</wp14:pctWidth>
            </wp14:sizeRelH>
            <wp14:sizeRelV relativeFrom="margin">
              <wp14:pctHeight>0</wp14:pctHeight>
            </wp14:sizeRelV>
          </wp:anchor>
        </w:drawing>
      </w:r>
      <w:r w:rsidR="00E51350">
        <w:rPr>
          <w:b/>
          <w:bCs/>
          <w:noProof/>
        </w:rPr>
        <mc:AlternateContent>
          <mc:Choice Requires="wps">
            <w:drawing>
              <wp:anchor distT="0" distB="0" distL="114300" distR="114300" simplePos="0" relativeHeight="251646976" behindDoc="0" locked="0" layoutInCell="1" allowOverlap="1" wp14:anchorId="015D7E73" wp14:editId="7AC8B40D">
                <wp:simplePos x="0" y="0"/>
                <wp:positionH relativeFrom="page">
                  <wp:posOffset>484505</wp:posOffset>
                </wp:positionH>
                <wp:positionV relativeFrom="page">
                  <wp:posOffset>0</wp:posOffset>
                </wp:positionV>
                <wp:extent cx="6120130" cy="3275965"/>
                <wp:effectExtent l="0" t="0" r="0" b="0"/>
                <wp:wrapTopAndBottom/>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275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0E8F4" w14:textId="77777777" w:rsidR="00E11384" w:rsidRDefault="00E113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D7E73" id="_x0000_t202" coordsize="21600,21600" o:spt="202" path="m,l,21600r21600,l21600,xe">
                <v:stroke joinstyle="miter"/>
                <v:path gradientshapeok="t" o:connecttype="rect"/>
              </v:shapetype>
              <v:shape id="Text Box 6" o:spid="_x0000_s1026" type="#_x0000_t202" style="position:absolute;left:0;text-align:left;margin-left:38.15pt;margin-top:0;width:481.9pt;height:257.9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" filled="f" stroked="f">
                <v:textbox>
                  <w:txbxContent>
                    <w:p w14:paraId="5060E8F4" w14:textId="77777777" w:rsidR="00E11384" w:rsidRDefault="00E11384"/>
                  </w:txbxContent>
                </v:textbox>
                <w10:wrap type="topAndBottom" anchorx="page" anchory="page"/>
              </v:shape>
            </w:pict>
          </mc:Fallback>
        </mc:AlternateContent>
      </w:r>
      <w:r w:rsidR="00E51350">
        <w:rPr>
          <w:noProof/>
          <w:sz w:val="20"/>
        </w:rPr>
        <mc:AlternateContent>
          <mc:Choice Requires="wps">
            <w:drawing>
              <wp:anchor distT="0" distB="0" distL="114300" distR="114300" simplePos="0" relativeHeight="251648000" behindDoc="0" locked="0" layoutInCell="1" allowOverlap="1" wp14:anchorId="00B0525C" wp14:editId="07544733">
                <wp:simplePos x="0" y="0"/>
                <wp:positionH relativeFrom="column">
                  <wp:posOffset>161290</wp:posOffset>
                </wp:positionH>
                <wp:positionV relativeFrom="paragraph">
                  <wp:posOffset>-170180</wp:posOffset>
                </wp:positionV>
                <wp:extent cx="6059805" cy="2514600"/>
                <wp:effectExtent l="0" t="0" r="0" b="0"/>
                <wp:wrapSquare wrapText="bothSides"/>
                <wp:docPr id="2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805"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BD07E" w14:textId="77777777" w:rsidR="00E11384" w:rsidRDefault="00E11384">
                            <w:pPr>
                              <w:spacing w:line="240" w:lineRule="auto"/>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0525C" id="Text Box 52" o:spid="_x0000_s1027" type="#_x0000_t202" style="position:absolute;left:0;text-align:left;margin-left:12.7pt;margin-top:-13.4pt;width:477.15pt;height:19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" filled="f" stroked="f">
                <v:textbox>
                  <w:txbxContent>
                    <w:p w14:paraId="136BD07E" w14:textId="77777777" w:rsidR="00E11384" w:rsidRDefault="00E11384">
                      <w:pPr>
                        <w:spacing w:line="240" w:lineRule="auto"/>
                        <w:ind w:left="0"/>
                      </w:pPr>
                    </w:p>
                  </w:txbxContent>
                </v:textbox>
                <w10:wrap type="square"/>
              </v:shape>
            </w:pict>
          </mc:Fallback>
        </mc:AlternateContent>
      </w:r>
      <w:r w:rsidR="00E51350">
        <w:rPr>
          <w:b/>
          <w:bCs/>
          <w:noProof/>
        </w:rPr>
        <mc:AlternateContent>
          <mc:Choice Requires="wps">
            <w:drawing>
              <wp:anchor distT="0" distB="0" distL="114300" distR="114300" simplePos="0" relativeHeight="251656192" behindDoc="1" locked="1" layoutInCell="1" allowOverlap="0" wp14:anchorId="473C36B6" wp14:editId="6C0BB886">
                <wp:simplePos x="0" y="0"/>
                <wp:positionH relativeFrom="page">
                  <wp:posOffset>539750</wp:posOffset>
                </wp:positionH>
                <wp:positionV relativeFrom="page">
                  <wp:posOffset>3661410</wp:posOffset>
                </wp:positionV>
                <wp:extent cx="6120130" cy="1433195"/>
                <wp:effectExtent l="0" t="0" r="13970" b="14605"/>
                <wp:wrapTight wrapText="bothSides">
                  <wp:wrapPolygon edited="0">
                    <wp:start x="0" y="0"/>
                    <wp:lineTo x="0" y="21533"/>
                    <wp:lineTo x="21582" y="21533"/>
                    <wp:lineTo x="21582" y="0"/>
                    <wp:lineTo x="0" y="0"/>
                  </wp:wrapPolygon>
                </wp:wrapTight>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43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9788F" w14:textId="77777777" w:rsidR="005A09F1" w:rsidRDefault="005A09F1" w:rsidP="005A09F1">
                            <w:pPr>
                              <w:pStyle w:val="Inhalt"/>
                              <w:spacing w:after="113"/>
                              <w:rPr>
                                <w:b/>
                                <w:bCs/>
                                <w:sz w:val="21"/>
                              </w:rPr>
                            </w:pPr>
                            <w:r>
                              <w:rPr>
                                <w:b/>
                                <w:bCs/>
                                <w:sz w:val="21"/>
                              </w:rPr>
                              <w:t>Inhalt</w:t>
                            </w:r>
                          </w:p>
                          <w:p w14:paraId="3C22C3EA" w14:textId="77777777" w:rsidR="005A09F1" w:rsidRDefault="005A09F1" w:rsidP="005A09F1">
                            <w:pPr>
                              <w:pStyle w:val="Inhalt"/>
                            </w:pPr>
                            <w:r>
                              <w:t>1</w:t>
                            </w:r>
                            <w:r>
                              <w:tab/>
                              <w:t>Steuerliche Behandlung von Erstausbildungskosten verfassungsgemäß</w:t>
                            </w:r>
                          </w:p>
                          <w:p w14:paraId="1CC2CA2B" w14:textId="77777777" w:rsidR="005A09F1" w:rsidRDefault="005A09F1" w:rsidP="005A09F1">
                            <w:pPr>
                              <w:pStyle w:val="Inhalt"/>
                            </w:pPr>
                            <w:r>
                              <w:t>2</w:t>
                            </w:r>
                            <w:r>
                              <w:tab/>
                              <w:t>Gehaltsumwandlung: Reaktion des Gesetzgebers auf neue Rechtsprechung</w:t>
                            </w:r>
                          </w:p>
                          <w:p w14:paraId="77D28525" w14:textId="77777777" w:rsidR="005A09F1" w:rsidRDefault="005A09F1" w:rsidP="005A09F1">
                            <w:pPr>
                              <w:pStyle w:val="Inhalt"/>
                            </w:pPr>
                            <w:r>
                              <w:t>3</w:t>
                            </w:r>
                            <w:r>
                              <w:tab/>
                              <w:t>Berücksichtigung von Verlusten bei Kapitalforderungen</w:t>
                            </w:r>
                          </w:p>
                          <w:p w14:paraId="624ADF1D" w14:textId="77777777" w:rsidR="005A09F1" w:rsidRDefault="005A09F1" w:rsidP="005A09F1">
                            <w:pPr>
                              <w:pStyle w:val="Inhalt"/>
                            </w:pPr>
                            <w:r>
                              <w:t>4</w:t>
                            </w:r>
                            <w:r>
                              <w:tab/>
                              <w:t>Versteuerung nach vereinnahmten Entgelten: Voraussetzungen erweitert</w:t>
                            </w:r>
                          </w:p>
                          <w:p w14:paraId="6D5E5358" w14:textId="77777777" w:rsidR="005A09F1" w:rsidRDefault="005A09F1" w:rsidP="005A09F1">
                            <w:pPr>
                              <w:pStyle w:val="Inhalt"/>
                            </w:pPr>
                            <w:r>
                              <w:t>5</w:t>
                            </w:r>
                            <w:r>
                              <w:tab/>
                              <w:t>Grundsteuer-Erlass wegen Ertragsminderung</w:t>
                            </w:r>
                          </w:p>
                          <w:p w14:paraId="56B041D1" w14:textId="77777777" w:rsidR="005A09F1" w:rsidRDefault="005A09F1" w:rsidP="005A09F1">
                            <w:pPr>
                              <w:pStyle w:val="Inhalt"/>
                            </w:pPr>
                            <w:r>
                              <w:t>6</w:t>
                            </w:r>
                            <w:r>
                              <w:tab/>
                              <w:t>Vorsteuerabzug bei Bahntickets</w:t>
                            </w:r>
                          </w:p>
                          <w:p w14:paraId="42D9C9AA" w14:textId="77777777" w:rsidR="00E11384" w:rsidRDefault="005A09F1" w:rsidP="005A09F1">
                            <w:pPr>
                              <w:pStyle w:val="Inhalt"/>
                            </w:pPr>
                            <w:r>
                              <w:t>7</w:t>
                            </w:r>
                            <w:r>
                              <w:tab/>
                              <w:t>Vernichtung von Buchhaltungsunterlagen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C36B6" id="Text Box 10" o:spid="_x0000_s1028" type="#_x0000_t202" style="position:absolute;left:0;text-align:left;margin-left:42.5pt;margin-top:288.3pt;width:481.9pt;height:112.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" o:allowoverlap="f" filled="f" stroked="f">
                <v:textbox inset="0,0,0,0">
                  <w:txbxContent>
                    <w:p w14:paraId="30C9788F" w14:textId="77777777" w:rsidR="005A09F1" w:rsidRDefault="005A09F1" w:rsidP="005A09F1">
                      <w:pPr>
                        <w:pStyle w:val="Inhalt"/>
                        <w:spacing w:after="113"/>
                        <w:rPr>
                          <w:b/>
                          <w:bCs/>
                          <w:sz w:val="21"/>
                        </w:rPr>
                      </w:pPr>
                      <w:r>
                        <w:rPr>
                          <w:b/>
                          <w:bCs/>
                          <w:sz w:val="21"/>
                        </w:rPr>
                        <w:t>Inhalt</w:t>
                      </w:r>
                    </w:p>
                    <w:p w14:paraId="3C22C3EA" w14:textId="77777777" w:rsidR="005A09F1" w:rsidRDefault="005A09F1" w:rsidP="005A09F1">
                      <w:pPr>
                        <w:pStyle w:val="Inhalt"/>
                      </w:pPr>
                      <w:r>
                        <w:t>1</w:t>
                      </w:r>
                      <w:r>
                        <w:tab/>
                        <w:t>Steuerliche Behandlung von Erstausbildungskosten verfassungsgemäß</w:t>
                      </w:r>
                    </w:p>
                    <w:p w14:paraId="1CC2CA2B" w14:textId="77777777" w:rsidR="005A09F1" w:rsidRDefault="005A09F1" w:rsidP="005A09F1">
                      <w:pPr>
                        <w:pStyle w:val="Inhalt"/>
                      </w:pPr>
                      <w:r>
                        <w:t>2</w:t>
                      </w:r>
                      <w:r>
                        <w:tab/>
                        <w:t>Gehaltsumwandlung: Reaktion des Gesetzgebers auf neue Rechtsprechung</w:t>
                      </w:r>
                    </w:p>
                    <w:p w14:paraId="77D28525" w14:textId="77777777" w:rsidR="005A09F1" w:rsidRDefault="005A09F1" w:rsidP="005A09F1">
                      <w:pPr>
                        <w:pStyle w:val="Inhalt"/>
                      </w:pPr>
                      <w:r>
                        <w:t>3</w:t>
                      </w:r>
                      <w:r>
                        <w:tab/>
                        <w:t>Berücksichtigung von Verlusten bei Kapitalforderungen</w:t>
                      </w:r>
                    </w:p>
                    <w:p w14:paraId="624ADF1D" w14:textId="77777777" w:rsidR="005A09F1" w:rsidRDefault="005A09F1" w:rsidP="005A09F1">
                      <w:pPr>
                        <w:pStyle w:val="Inhalt"/>
                      </w:pPr>
                      <w:r>
                        <w:t>4</w:t>
                      </w:r>
                      <w:r>
                        <w:tab/>
                        <w:t>Versteuerung nach vereinnahmten Entgelten: Voraussetzungen erweitert</w:t>
                      </w:r>
                    </w:p>
                    <w:p w14:paraId="6D5E5358" w14:textId="77777777" w:rsidR="005A09F1" w:rsidRDefault="005A09F1" w:rsidP="005A09F1">
                      <w:pPr>
                        <w:pStyle w:val="Inhalt"/>
                      </w:pPr>
                      <w:r>
                        <w:t>5</w:t>
                      </w:r>
                      <w:r>
                        <w:tab/>
                        <w:t>Grundsteuer-Erlass wegen Ertragsminderung</w:t>
                      </w:r>
                    </w:p>
                    <w:p w14:paraId="56B041D1" w14:textId="77777777" w:rsidR="005A09F1" w:rsidRDefault="005A09F1" w:rsidP="005A09F1">
                      <w:pPr>
                        <w:pStyle w:val="Inhalt"/>
                      </w:pPr>
                      <w:r>
                        <w:t>6</w:t>
                      </w:r>
                      <w:r>
                        <w:tab/>
                        <w:t>Vorsteuerabzug bei Bahntickets</w:t>
                      </w:r>
                    </w:p>
                    <w:p w14:paraId="42D9C9AA" w14:textId="77777777" w:rsidR="00E11384" w:rsidRDefault="005A09F1" w:rsidP="005A09F1">
                      <w:pPr>
                        <w:pStyle w:val="Inhalt"/>
                      </w:pPr>
                      <w:r>
                        <w:t>7</w:t>
                      </w:r>
                      <w:r>
                        <w:tab/>
                        <w:t>Vernichtung von Buchhaltungsunterlagen</w:t>
                      </w:r>
                    </w:p>
                  </w:txbxContent>
                </v:textbox>
                <w10:wrap type="tight" anchorx="page" anchory="page"/>
                <w10:anchorlock/>
              </v:shape>
            </w:pict>
          </mc:Fallback>
        </mc:AlternateContent>
      </w:r>
      <w:proofErr w:type="gramStart"/>
      <w:r w:rsidR="006D6C03">
        <w:rPr>
          <w:b/>
          <w:bCs/>
        </w:rPr>
        <w:t>Allgemeine  Steuerzahlungstermine</w:t>
      </w:r>
      <w:proofErr w:type="gramEnd"/>
      <w:r w:rsidR="006D6C03">
        <w:rPr>
          <w:b/>
          <w:bCs/>
        </w:rPr>
        <w:t xml:space="preserve">  im  </w:t>
      </w:r>
      <w:r w:rsidR="008F5C91">
        <w:rPr>
          <w:b/>
          <w:bCs/>
        </w:rPr>
        <w:t>März</w:t>
      </w:r>
    </w:p>
    <w:p w14:paraId="35F6B005" w14:textId="77777777" w:rsidR="008F5C91" w:rsidRDefault="008F5C91" w:rsidP="008F5C91">
      <w:pPr>
        <w:tabs>
          <w:tab w:val="center" w:pos="5103"/>
        </w:tabs>
        <w:spacing w:after="80" w:line="180" w:lineRule="exact"/>
        <w:rPr>
          <w:b/>
          <w:bCs/>
          <w:sz w:val="17"/>
        </w:rPr>
      </w:pPr>
      <w:r>
        <w:rPr>
          <w:b/>
          <w:bCs/>
          <w:noProof/>
          <w:sz w:val="20"/>
        </w:rPr>
        <mc:AlternateContent>
          <mc:Choice Requires="wps">
            <w:drawing>
              <wp:anchor distT="0" distB="0" distL="114300" distR="114300" simplePos="0" relativeHeight="251682816" behindDoc="1" locked="0" layoutInCell="1" allowOverlap="1" wp14:anchorId="18B2CB18" wp14:editId="1E26061A">
                <wp:simplePos x="0" y="0"/>
                <wp:positionH relativeFrom="page">
                  <wp:posOffset>935990</wp:posOffset>
                </wp:positionH>
                <wp:positionV relativeFrom="paragraph">
                  <wp:posOffset>-259080</wp:posOffset>
                </wp:positionV>
                <wp:extent cx="5760085" cy="179705"/>
                <wp:effectExtent l="0" t="0" r="0" b="0"/>
                <wp:wrapNone/>
                <wp:docPr id="10"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7970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94D973" w14:textId="77777777" w:rsidR="008F5C91" w:rsidRDefault="008F5C91" w:rsidP="008F5C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2CB18" id="Text Box 344" o:spid="_x0000_s1029" type="#_x0000_t202" style="position:absolute;left:0;text-align:left;margin-left:73.7pt;margin-top:-20.4pt;width:453.55pt;height:14.1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" fillcolor="silver" stroked="f">
                <v:textbox>
                  <w:txbxContent>
                    <w:p w14:paraId="6594D973" w14:textId="77777777" w:rsidR="008F5C91" w:rsidRDefault="008F5C91" w:rsidP="008F5C91"/>
                  </w:txbxContent>
                </v:textbox>
                <w10:wrap anchorx="page"/>
              </v:shape>
            </w:pict>
          </mc:Fallback>
        </mc:AlternateContent>
      </w:r>
      <w:r>
        <w:rPr>
          <w:b/>
          <w:bCs/>
          <w:sz w:val="17"/>
        </w:rPr>
        <w:t>Fälligkeit</w:t>
      </w:r>
      <w:r>
        <w:rPr>
          <w:rStyle w:val="Funotenzeichen"/>
          <w:b/>
          <w:bCs/>
          <w:sz w:val="17"/>
        </w:rPr>
        <w:footnoteReference w:id="1"/>
      </w:r>
      <w:r>
        <w:rPr>
          <w:b/>
          <w:bCs/>
          <w:sz w:val="17"/>
        </w:rPr>
        <w:tab/>
        <w:t>Ende der Schonfrist</w:t>
      </w:r>
    </w:p>
    <w:p w14:paraId="53CB738D" w14:textId="224A75E0" w:rsidR="008F5C91" w:rsidRDefault="00AB0FD6" w:rsidP="009B472B">
      <w:pPr>
        <w:pStyle w:val="Faelligkeit"/>
        <w:tabs>
          <w:tab w:val="left" w:pos="993"/>
        </w:tabs>
        <w:spacing w:before="160" w:after="80"/>
      </w:pPr>
      <w:r>
        <w:t>Di</w:t>
      </w:r>
      <w:r w:rsidR="008F5C91">
        <w:t>.</w:t>
      </w:r>
      <w:bookmarkStart w:id="0" w:name="_GoBack"/>
      <w:bookmarkEnd w:id="0"/>
      <w:r w:rsidR="001945F7">
        <w:tab/>
      </w:r>
      <w:r w:rsidR="008F5C91">
        <w:t>1</w:t>
      </w:r>
      <w:r>
        <w:t>0</w:t>
      </w:r>
      <w:r w:rsidR="008F5C91">
        <w:t>.</w:t>
      </w:r>
      <w:r>
        <w:t>0</w:t>
      </w:r>
      <w:r w:rsidR="008F5C91">
        <w:t>3.</w:t>
      </w:r>
      <w:r w:rsidR="008F5C91">
        <w:tab/>
        <w:t>Lohnsteuer, Kirchensteuer,</w:t>
      </w:r>
      <w:r w:rsidR="008F5C91">
        <w:br/>
        <w:t>Solidaritätszuschlag</w:t>
      </w:r>
      <w:bookmarkStart w:id="1" w:name="_Ref152652906"/>
      <w:r w:rsidR="008F5C91">
        <w:rPr>
          <w:rStyle w:val="Funotenzeichen"/>
        </w:rPr>
        <w:footnoteReference w:id="2"/>
      </w:r>
      <w:bookmarkEnd w:id="1"/>
      <w:r w:rsidR="008F5C91">
        <w:tab/>
        <w:t>1</w:t>
      </w:r>
      <w:r>
        <w:t>3</w:t>
      </w:r>
      <w:r w:rsidR="008F5C91">
        <w:t>.</w:t>
      </w:r>
      <w:r>
        <w:t>0</w:t>
      </w:r>
      <w:r w:rsidR="008F5C91">
        <w:t>3.</w:t>
      </w:r>
    </w:p>
    <w:p w14:paraId="3F1CC9DB" w14:textId="77777777" w:rsidR="008F5C91" w:rsidRDefault="008F5C91" w:rsidP="008F5C91">
      <w:pPr>
        <w:pStyle w:val="Faelligkeit"/>
        <w:spacing w:after="80"/>
      </w:pPr>
      <w:r>
        <w:tab/>
        <w:t>Einkommensteuer, Kirchen-</w:t>
      </w:r>
      <w:r>
        <w:br/>
      </w:r>
      <w:proofErr w:type="spellStart"/>
      <w:r>
        <w:t>steuer</w:t>
      </w:r>
      <w:proofErr w:type="spellEnd"/>
      <w:r>
        <w:t>, Solidaritätszuschlag</w:t>
      </w:r>
      <w:r>
        <w:tab/>
        <w:t>1</w:t>
      </w:r>
      <w:r w:rsidR="00AB0FD6">
        <w:t>3</w:t>
      </w:r>
      <w:r>
        <w:t>.</w:t>
      </w:r>
      <w:r w:rsidR="00AB0FD6">
        <w:t>0</w:t>
      </w:r>
      <w:r>
        <w:t>3.</w:t>
      </w:r>
    </w:p>
    <w:p w14:paraId="4E78A409" w14:textId="77777777" w:rsidR="008F5C91" w:rsidRDefault="008F5C91" w:rsidP="008F5C91">
      <w:pPr>
        <w:pStyle w:val="Faelligkeit"/>
        <w:spacing w:after="80"/>
      </w:pPr>
      <w:r>
        <w:tab/>
        <w:t>Körperschaftsteuer,</w:t>
      </w:r>
      <w:r>
        <w:br/>
        <w:t>Solidaritätszuschlag</w:t>
      </w:r>
      <w:r>
        <w:tab/>
        <w:t>1</w:t>
      </w:r>
      <w:r w:rsidR="00AB0FD6">
        <w:t>3</w:t>
      </w:r>
      <w:r>
        <w:t>.</w:t>
      </w:r>
      <w:r w:rsidR="00AB0FD6">
        <w:t>0</w:t>
      </w:r>
      <w:r>
        <w:t>3.</w:t>
      </w:r>
    </w:p>
    <w:p w14:paraId="0539C012" w14:textId="77777777" w:rsidR="008F5C91" w:rsidRDefault="008F5C91" w:rsidP="008F5C91">
      <w:pPr>
        <w:pStyle w:val="Faelligkeit"/>
        <w:spacing w:after="80"/>
        <w:ind w:firstLine="0"/>
      </w:pPr>
      <w:r>
        <w:t>Umsatzsteuer</w:t>
      </w:r>
      <w:r>
        <w:rPr>
          <w:rStyle w:val="Funotenzeichen"/>
        </w:rPr>
        <w:footnoteReference w:id="3"/>
      </w:r>
      <w:r>
        <w:tab/>
        <w:t>1</w:t>
      </w:r>
      <w:r w:rsidR="00AB0FD6">
        <w:t>3</w:t>
      </w:r>
      <w:r>
        <w:t>.</w:t>
      </w:r>
      <w:r w:rsidR="00AB0FD6">
        <w:t>0</w:t>
      </w:r>
      <w:r>
        <w:t>3.</w:t>
      </w:r>
    </w:p>
    <w:p w14:paraId="138A1B01" w14:textId="77777777" w:rsidR="00500342" w:rsidRDefault="00500342" w:rsidP="00500342">
      <w:pPr>
        <w:pStyle w:val="Faelligkeit"/>
        <w:spacing w:before="120" w:after="20"/>
        <w:ind w:left="567" w:firstLine="0"/>
      </w:pPr>
      <w:r>
        <w:t>Die 3-tägige Schonfrist gilt nur bei Überweisungen; maßgebend ist die Gutschrift auf dem Konto der Finanzbehörde.</w:t>
      </w:r>
    </w:p>
    <w:p w14:paraId="343AAC23" w14:textId="77777777" w:rsidR="006D6C03" w:rsidRDefault="00500342" w:rsidP="00500342">
      <w:pPr>
        <w:pStyle w:val="Faelligkeit"/>
        <w:spacing w:after="120"/>
        <w:ind w:left="567" w:firstLine="0"/>
      </w:pPr>
      <w:r>
        <w:t>Dagegen muss bei Scheckzahlung der Scheck spätestens 3 Tage vor dem Fälligkeitstermin eingereicht werden.</w:t>
      </w:r>
    </w:p>
    <w:p w14:paraId="49EA8C16" w14:textId="77777777" w:rsidR="006D6C03" w:rsidRDefault="00E51350" w:rsidP="0065714D">
      <w:pPr>
        <w:pStyle w:val="berschrift1"/>
        <w:spacing w:before="560"/>
        <w:rPr>
          <w:rStyle w:val="Ueber1Zahl"/>
          <w:sz w:val="24"/>
        </w:rPr>
      </w:pPr>
      <w:r>
        <w:rPr>
          <w:noProof/>
          <w:sz w:val="20"/>
        </w:rPr>
        <mc:AlternateContent>
          <mc:Choice Requires="wps">
            <w:drawing>
              <wp:anchor distT="0" distB="0" distL="114300" distR="114300" simplePos="0" relativeHeight="251657216" behindDoc="1" locked="0" layoutInCell="1" allowOverlap="0" wp14:anchorId="33C4D7A2" wp14:editId="21912092">
                <wp:simplePos x="0" y="0"/>
                <wp:positionH relativeFrom="page">
                  <wp:posOffset>622935</wp:posOffset>
                </wp:positionH>
                <wp:positionV relativeFrom="paragraph">
                  <wp:posOffset>269875</wp:posOffset>
                </wp:positionV>
                <wp:extent cx="6120000" cy="180000"/>
                <wp:effectExtent l="0" t="0" r="0" b="0"/>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18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F22B23" w14:textId="77777777" w:rsidR="00E11384" w:rsidRDefault="00E11384">
                            <w:pPr>
                              <w:rPr>
                                <w:color w:val="9999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4D7A2" id="Text Box 19" o:spid="_x0000_s1030" type="#_x0000_t202" style="position:absolute;left:0;text-align:left;margin-left:49.05pt;margin-top:21.25pt;width:481.9pt;height:1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" o:allowoverlap="f" fillcolor="silver" stroked="f">
                <v:textbox>
                  <w:txbxContent>
                    <w:p w14:paraId="7DF22B23" w14:textId="77777777" w:rsidR="00E11384" w:rsidRDefault="00E11384">
                      <w:pPr>
                        <w:rPr>
                          <w:color w:val="999999"/>
                        </w:rPr>
                      </w:pPr>
                    </w:p>
                  </w:txbxContent>
                </v:textbox>
                <w10:wrap anchorx="page"/>
              </v:shape>
            </w:pict>
          </mc:Fallback>
        </mc:AlternateContent>
      </w:r>
      <w:r w:rsidR="006D6C03">
        <w:rPr>
          <w:rStyle w:val="Ueber1Zahl"/>
        </w:rPr>
        <w:tab/>
        <w:t>1</w:t>
      </w:r>
      <w:r w:rsidR="006D6C03">
        <w:tab/>
      </w:r>
      <w:r w:rsidR="0065714D" w:rsidRPr="0065714D">
        <w:t>Steuerliche  Behandlung  von  Erstausbildungskosten  verfassungsgemäß</w:t>
      </w:r>
    </w:p>
    <w:p w14:paraId="460D0BDF" w14:textId="77777777" w:rsidR="0065714D" w:rsidRDefault="0065714D" w:rsidP="0065714D">
      <w:pPr>
        <w:spacing w:after="100"/>
      </w:pPr>
      <w:r>
        <w:t>Aufwendungen für eine Berufsausbildung oder für ein Studium können nur dann als Werbungskosten gel</w:t>
      </w:r>
      <w:r>
        <w:softHyphen/>
      </w:r>
      <w:r w:rsidRPr="0065714D">
        <w:rPr>
          <w:spacing w:val="-2"/>
        </w:rPr>
        <w:t>tend gemacht werden, wenn bereits zuvor eine Erstausbildung (Berufsausbildung oder Studium) abgeschlos</w:t>
      </w:r>
      <w:r w:rsidRPr="0065714D">
        <w:rPr>
          <w:spacing w:val="-2"/>
        </w:rPr>
        <w:softHyphen/>
        <w:t>sen wurde oder wenn die Ausbildung im Rahmen eines Dienstverhältnisses erfolgt.</w:t>
      </w:r>
      <w:r w:rsidRPr="0065714D">
        <w:rPr>
          <w:rStyle w:val="Funotenzeichen"/>
          <w:spacing w:val="-2"/>
        </w:rPr>
        <w:footnoteReference w:id="4"/>
      </w:r>
      <w:r w:rsidRPr="0065714D">
        <w:rPr>
          <w:spacing w:val="-2"/>
        </w:rPr>
        <w:t xml:space="preserve"> Handelt es sich um eine</w:t>
      </w:r>
      <w:r>
        <w:t xml:space="preserve"> Erstausbildung, können die Kosten lediglich im Rahmen der Sonderausgaben bis zu einem Höchstbetrag von 6.000 Euro pro Kalenderjahr berücksichtigt werden.</w:t>
      </w:r>
      <w:r>
        <w:rPr>
          <w:rStyle w:val="Funotenzeichen"/>
        </w:rPr>
        <w:footnoteReference w:id="5"/>
      </w:r>
      <w:r>
        <w:t xml:space="preserve"> Hinzu kommt, dass der Sonderausgabenabzug oft ins Leere läuft, da während der Erstausbildung regelmäßig keine oder nur geringe Einkünfte erzielt werden und die Aufwendungen als Sonderausgaben nicht auf Folgejahre vortragsfähig sind.</w:t>
      </w:r>
    </w:p>
    <w:p w14:paraId="7D8D48B8" w14:textId="77777777" w:rsidR="006D6C03" w:rsidRPr="00F25EB2" w:rsidRDefault="0065714D" w:rsidP="00796C6B">
      <w:pPr>
        <w:spacing w:after="40"/>
      </w:pPr>
      <w:r w:rsidRPr="0065714D">
        <w:rPr>
          <w:spacing w:val="-2"/>
        </w:rPr>
        <w:t>Das Bundesverfassungsgericht</w:t>
      </w:r>
      <w:r w:rsidRPr="0065714D">
        <w:rPr>
          <w:rStyle w:val="Funotenzeichen"/>
          <w:spacing w:val="-2"/>
        </w:rPr>
        <w:footnoteReference w:id="6"/>
      </w:r>
      <w:r w:rsidRPr="0065714D">
        <w:rPr>
          <w:spacing w:val="-2"/>
        </w:rPr>
        <w:t xml:space="preserve"> hat diese steuerliche Behandlung von Erstausbildungskosten für verfassungs</w:t>
      </w:r>
      <w:r w:rsidRPr="0065714D">
        <w:rPr>
          <w:spacing w:val="-2"/>
        </w:rPr>
        <w:softHyphen/>
        <w:t>gemäß</w:t>
      </w:r>
      <w:r>
        <w:t xml:space="preserve"> erklärt. Das Gericht hält die unterschiedliche Behandlung von Ausbildungskosten für gerechtfertigt, da die Erstausbildung auch zur Entwicklung der Persönlichkeit beitrage und daher als privat (mit-)veran</w:t>
      </w:r>
      <w:r>
        <w:softHyphen/>
      </w:r>
      <w:r w:rsidRPr="0065714D">
        <w:rPr>
          <w:spacing w:val="-2"/>
        </w:rPr>
        <w:lastRenderedPageBreak/>
        <w:t>lasst zu qualifizieren sei. Ebenso hat das Gericht klargestellt, dass die Begrenzung des Sonderausgabenabzugs</w:t>
      </w:r>
      <w:r>
        <w:t xml:space="preserve"> nicht zu beanstanden ist, denn ein über den Höchstbetrag von 6.000 Euro hinausgehender Ausbildungsauf</w:t>
      </w:r>
      <w:r>
        <w:softHyphen/>
        <w:t>wand sei nicht mehr dem steuerfrei zu stellenden Existenzminimum zuzurechnen.</w:t>
      </w:r>
    </w:p>
    <w:p w14:paraId="302BAB76" w14:textId="77777777" w:rsidR="006D6C03" w:rsidRDefault="00E51350" w:rsidP="00796C6B">
      <w:pPr>
        <w:pStyle w:val="berschrift1"/>
        <w:spacing w:before="400"/>
      </w:pPr>
      <w:r>
        <w:rPr>
          <w:noProof/>
          <w:sz w:val="20"/>
        </w:rPr>
        <mc:AlternateContent>
          <mc:Choice Requires="wps">
            <w:drawing>
              <wp:anchor distT="0" distB="0" distL="114300" distR="114300" simplePos="0" relativeHeight="251658240" behindDoc="1" locked="0" layoutInCell="1" allowOverlap="0" wp14:anchorId="579B35CA" wp14:editId="786B5B6C">
                <wp:simplePos x="0" y="0"/>
                <wp:positionH relativeFrom="page">
                  <wp:posOffset>622935</wp:posOffset>
                </wp:positionH>
                <wp:positionV relativeFrom="paragraph">
                  <wp:posOffset>219710</wp:posOffset>
                </wp:positionV>
                <wp:extent cx="6120000" cy="180000"/>
                <wp:effectExtent l="0" t="0" r="0" b="0"/>
                <wp:wrapNone/>
                <wp:docPr id="1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18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03E563" w14:textId="77777777" w:rsidR="00E11384" w:rsidRDefault="00E11384">
                            <w:pPr>
                              <w:rPr>
                                <w:color w:val="9999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B35CA" id="Text Box 106" o:spid="_x0000_s1031" type="#_x0000_t202" style="position:absolute;left:0;text-align:left;margin-left:49.05pt;margin-top:17.3pt;width:481.9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" o:allowoverlap="f" fillcolor="silver" stroked="f">
                <v:textbox>
                  <w:txbxContent>
                    <w:p w14:paraId="6903E563" w14:textId="77777777" w:rsidR="00E11384" w:rsidRDefault="00E11384">
                      <w:pPr>
                        <w:rPr>
                          <w:color w:val="999999"/>
                        </w:rPr>
                      </w:pPr>
                    </w:p>
                  </w:txbxContent>
                </v:textbox>
                <w10:wrap anchorx="page"/>
              </v:shape>
            </w:pict>
          </mc:Fallback>
        </mc:AlternateContent>
      </w:r>
      <w:r w:rsidR="006D6C03">
        <w:tab/>
      </w:r>
      <w:r w:rsidR="006D6C03">
        <w:rPr>
          <w:rStyle w:val="Ueber1Zahl"/>
        </w:rPr>
        <w:t>2</w:t>
      </w:r>
      <w:r w:rsidR="006D6C03">
        <w:tab/>
      </w:r>
      <w:r w:rsidR="002D4938" w:rsidRPr="002D4938">
        <w:t>Gehaltsumwandlung:  Reaktion  des  Gesetzgebers  auf  neue  Rechtsprechung</w:t>
      </w:r>
    </w:p>
    <w:p w14:paraId="165DA802" w14:textId="77777777" w:rsidR="002D4938" w:rsidRPr="002D4938" w:rsidRDefault="002D4938" w:rsidP="00796C6B">
      <w:pPr>
        <w:spacing w:after="40"/>
        <w:rPr>
          <w:rStyle w:val="Standard1"/>
          <w:rFonts w:ascii="Minion Pro" w:hAnsi="Minion Pro"/>
        </w:rPr>
      </w:pPr>
      <w:r w:rsidRPr="002D4938">
        <w:rPr>
          <w:rStyle w:val="Standard1"/>
          <w:rFonts w:ascii="Minion Pro" w:hAnsi="Minion Pro"/>
        </w:rPr>
        <w:t>Bestimmte Leistungen des Arbeitgebers (z.</w:t>
      </w:r>
      <w:r>
        <w:rPr>
          <w:rStyle w:val="Standard1"/>
          <w:rFonts w:ascii="Minion Pro" w:hAnsi="Minion Pro"/>
        </w:rPr>
        <w:t> </w:t>
      </w:r>
      <w:r w:rsidRPr="002D4938">
        <w:rPr>
          <w:rStyle w:val="Standard1"/>
          <w:rFonts w:ascii="Minion Pro" w:hAnsi="Minion Pro"/>
        </w:rPr>
        <w:t xml:space="preserve">B. Fahrtkostenzuschüsse, Zuschüsse für Kinderbetreuung oder </w:t>
      </w:r>
      <w:r w:rsidRPr="00DB558F">
        <w:rPr>
          <w:rStyle w:val="Standard1"/>
          <w:rFonts w:ascii="Minion Pro" w:hAnsi="Minion Pro"/>
          <w:spacing w:val="-2"/>
        </w:rPr>
        <w:t>zur betrieblichen Gesundheitsförderung) können nach bisheriger Rechtslage regelmäßig lohnsteuer- und ggf.</w:t>
      </w:r>
      <w:r>
        <w:rPr>
          <w:rStyle w:val="Standard1"/>
          <w:rFonts w:ascii="Minion Pro" w:hAnsi="Minion Pro"/>
        </w:rPr>
        <w:t xml:space="preserve"> </w:t>
      </w:r>
      <w:r w:rsidRPr="00DB558F">
        <w:rPr>
          <w:rStyle w:val="Standard1"/>
          <w:rFonts w:ascii="Minion Pro" w:hAnsi="Minion Pro"/>
          <w:spacing w:val="-2"/>
        </w:rPr>
        <w:t>sozialversicherungsfrei gezahlt werden, wenn die Leistungen „zusätzlich zum ohnehin geschuldeten Arbeits</w:t>
      </w:r>
      <w:r w:rsidR="00DB558F" w:rsidRPr="00DB558F">
        <w:rPr>
          <w:rStyle w:val="Standard1"/>
          <w:rFonts w:ascii="Minion Pro" w:hAnsi="Minion Pro"/>
          <w:spacing w:val="-2"/>
        </w:rPr>
        <w:softHyphen/>
      </w:r>
      <w:r w:rsidRPr="00DB558F">
        <w:rPr>
          <w:rStyle w:val="Standard1"/>
          <w:rFonts w:ascii="Minion Pro" w:hAnsi="Minion Pro"/>
          <w:spacing w:val="-2"/>
        </w:rPr>
        <w:t>lohn</w:t>
      </w:r>
      <w:r w:rsidRPr="002D4938">
        <w:rPr>
          <w:rStyle w:val="Standard1"/>
          <w:rFonts w:ascii="Minion Pro" w:hAnsi="Minion Pro"/>
        </w:rPr>
        <w:t>“ erbracht werden.</w:t>
      </w:r>
    </w:p>
    <w:p w14:paraId="22031BE9" w14:textId="77777777" w:rsidR="002D4938" w:rsidRPr="002D4938" w:rsidRDefault="002D4938" w:rsidP="00796C6B">
      <w:pPr>
        <w:spacing w:after="40"/>
        <w:rPr>
          <w:rStyle w:val="Standard1"/>
          <w:rFonts w:ascii="Minion Pro" w:hAnsi="Minion Pro"/>
        </w:rPr>
      </w:pPr>
      <w:r w:rsidRPr="002D4938">
        <w:rPr>
          <w:rStyle w:val="Standard1"/>
          <w:rFonts w:ascii="Minion Pro" w:hAnsi="Minion Pro"/>
        </w:rPr>
        <w:t>Der Bundesfinanzhof hatte dazu entschieden, dass es dabei nicht darauf a</w:t>
      </w:r>
      <w:r w:rsidR="00DB558F">
        <w:rPr>
          <w:rStyle w:val="Standard1"/>
          <w:rFonts w:ascii="Minion Pro" w:hAnsi="Minion Pro"/>
        </w:rPr>
        <w:t>nkommt, ob der Arbeitnehmer auf </w:t>
      </w:r>
      <w:r w:rsidRPr="002D4938">
        <w:rPr>
          <w:rStyle w:val="Standard1"/>
          <w:rFonts w:ascii="Minion Pro" w:hAnsi="Minion Pro"/>
        </w:rPr>
        <w:t>den zusätzlichen Arbeitslohn einen arbeitsrechtlichen Anspruch hat. Nach Auffassung des Gerichts sei jede Leistung „zusätzlicher“ Arbeitslohn, die verwendungs- bz</w:t>
      </w:r>
      <w:r>
        <w:rPr>
          <w:rStyle w:val="Standard1"/>
          <w:rFonts w:ascii="Minion Pro" w:hAnsi="Minion Pro"/>
        </w:rPr>
        <w:t>w. zweckgebunden erbracht wird.</w:t>
      </w:r>
      <w:r>
        <w:rPr>
          <w:rStyle w:val="Funotenzeichen"/>
        </w:rPr>
        <w:footnoteReference w:id="7"/>
      </w:r>
      <w:r w:rsidRPr="002D4938">
        <w:rPr>
          <w:rStyle w:val="Standard1"/>
          <w:rFonts w:ascii="Minion Pro" w:hAnsi="Minion Pro"/>
        </w:rPr>
        <w:t xml:space="preserve"> Danach könnten bestimmte Leistungen des Arbeitgebers auch durch Gehaltsumwandlung finanziert werden, ohne die Steuerfreiheit zu gefährden.</w:t>
      </w:r>
    </w:p>
    <w:p w14:paraId="6C52828C" w14:textId="77777777" w:rsidR="002D4938" w:rsidRPr="002D4938" w:rsidRDefault="002D4938" w:rsidP="00796C6B">
      <w:pPr>
        <w:spacing w:after="40"/>
        <w:rPr>
          <w:rStyle w:val="Standard1"/>
          <w:rFonts w:ascii="Minion Pro" w:hAnsi="Minion Pro"/>
        </w:rPr>
      </w:pPr>
      <w:r w:rsidRPr="002D4938">
        <w:rPr>
          <w:rStyle w:val="Standard1"/>
          <w:rFonts w:ascii="Minion Pro" w:hAnsi="Minion Pro"/>
        </w:rPr>
        <w:t xml:space="preserve">Als Reaktion auf diese Rechtsprechung plant der Gesetzgeber eine einschränkende gesetzliche Regelung. </w:t>
      </w:r>
      <w:r w:rsidRPr="00DB558F">
        <w:rPr>
          <w:rStyle w:val="Standard1"/>
          <w:rFonts w:ascii="Minion Pro" w:hAnsi="Minion Pro"/>
          <w:spacing w:val="-2"/>
        </w:rPr>
        <w:t>Danach sollen Sachbezüge oder Zuschüsse des Arbeitgebers nur dann unter die Steuerbegünstigungen fallen,</w:t>
      </w:r>
      <w:r w:rsidRPr="002D4938">
        <w:rPr>
          <w:rStyle w:val="Standard1"/>
          <w:rFonts w:ascii="Minion Pro" w:hAnsi="Minion Pro"/>
        </w:rPr>
        <w:t xml:space="preserve"> wenn</w:t>
      </w:r>
    </w:p>
    <w:p w14:paraId="34672AF3" w14:textId="77777777" w:rsidR="002D4938" w:rsidRPr="002D4938" w:rsidRDefault="002D4938" w:rsidP="00796C6B">
      <w:pPr>
        <w:spacing w:after="40"/>
        <w:ind w:left="765" w:hanging="198"/>
        <w:rPr>
          <w:rStyle w:val="Standard1"/>
          <w:rFonts w:ascii="Minion Pro" w:hAnsi="Minion Pro"/>
        </w:rPr>
      </w:pPr>
      <w:r w:rsidRPr="002D4938">
        <w:rPr>
          <w:rStyle w:val="Standard1"/>
          <w:rFonts w:ascii="Minion Pro" w:hAnsi="Minion Pro"/>
        </w:rPr>
        <w:t>•</w:t>
      </w:r>
      <w:r w:rsidRPr="002D4938">
        <w:rPr>
          <w:rStyle w:val="Standard1"/>
          <w:rFonts w:ascii="Minion Pro" w:hAnsi="Minion Pro"/>
        </w:rPr>
        <w:tab/>
        <w:t xml:space="preserve">der Wert der Arbeitgeberleistung </w:t>
      </w:r>
      <w:r w:rsidRPr="002D4938">
        <w:rPr>
          <w:rStyle w:val="Standard1"/>
          <w:rFonts w:ascii="Minion Pro" w:hAnsi="Minion Pro"/>
          <w:b/>
        </w:rPr>
        <w:t>nicht</w:t>
      </w:r>
      <w:r w:rsidRPr="002D4938">
        <w:rPr>
          <w:rStyle w:val="Standard1"/>
          <w:rFonts w:ascii="Minion Pro" w:hAnsi="Minion Pro"/>
        </w:rPr>
        <w:t xml:space="preserve"> auf den Anspruch auf Arbeitslohn </w:t>
      </w:r>
      <w:r w:rsidRPr="002D4938">
        <w:rPr>
          <w:rStyle w:val="Standard1"/>
          <w:rFonts w:ascii="Minion Pro" w:hAnsi="Minion Pro"/>
          <w:b/>
        </w:rPr>
        <w:t>angerechnet</w:t>
      </w:r>
      <w:r w:rsidRPr="002D4938">
        <w:rPr>
          <w:rStyle w:val="Standard1"/>
          <w:rFonts w:ascii="Minion Pro" w:hAnsi="Minion Pro"/>
        </w:rPr>
        <w:t>,</w:t>
      </w:r>
    </w:p>
    <w:p w14:paraId="74E769F1" w14:textId="77777777" w:rsidR="002D4938" w:rsidRPr="002D4938" w:rsidRDefault="002D4938" w:rsidP="00796C6B">
      <w:pPr>
        <w:spacing w:after="40"/>
        <w:ind w:left="765" w:hanging="198"/>
        <w:rPr>
          <w:rStyle w:val="Standard1"/>
          <w:rFonts w:ascii="Minion Pro" w:hAnsi="Minion Pro"/>
        </w:rPr>
      </w:pPr>
      <w:r w:rsidRPr="002D4938">
        <w:rPr>
          <w:rStyle w:val="Standard1"/>
          <w:rFonts w:ascii="Minion Pro" w:hAnsi="Minion Pro"/>
        </w:rPr>
        <w:t>•</w:t>
      </w:r>
      <w:r w:rsidRPr="002D4938">
        <w:rPr>
          <w:rStyle w:val="Standard1"/>
          <w:rFonts w:ascii="Minion Pro" w:hAnsi="Minion Pro"/>
        </w:rPr>
        <w:tab/>
        <w:t xml:space="preserve">der Anspruch auf Arbeitslohn </w:t>
      </w:r>
      <w:r w:rsidRPr="002D4938">
        <w:rPr>
          <w:rStyle w:val="Standard1"/>
          <w:rFonts w:ascii="Minion Pro" w:hAnsi="Minion Pro"/>
          <w:b/>
        </w:rPr>
        <w:t>nicht</w:t>
      </w:r>
      <w:r w:rsidRPr="002D4938">
        <w:rPr>
          <w:rStyle w:val="Standard1"/>
          <w:rFonts w:ascii="Minion Pro" w:hAnsi="Minion Pro"/>
        </w:rPr>
        <w:t xml:space="preserve"> zugunsten der Leistung </w:t>
      </w:r>
      <w:r w:rsidRPr="002D4938">
        <w:rPr>
          <w:rStyle w:val="Standard1"/>
          <w:rFonts w:ascii="Minion Pro" w:hAnsi="Minion Pro"/>
          <w:b/>
        </w:rPr>
        <w:t>herabgesetzt</w:t>
      </w:r>
      <w:r w:rsidRPr="002D4938">
        <w:rPr>
          <w:rStyle w:val="Standard1"/>
          <w:rFonts w:ascii="Minion Pro" w:hAnsi="Minion Pro"/>
        </w:rPr>
        <w:t xml:space="preserve"> oder</w:t>
      </w:r>
    </w:p>
    <w:p w14:paraId="6CD82F32" w14:textId="77777777" w:rsidR="002D4938" w:rsidRPr="002D4938" w:rsidRDefault="002D4938" w:rsidP="00796C6B">
      <w:pPr>
        <w:spacing w:after="40"/>
        <w:ind w:left="765" w:hanging="198"/>
        <w:rPr>
          <w:rStyle w:val="Standard1"/>
          <w:rFonts w:ascii="Minion Pro" w:hAnsi="Minion Pro"/>
        </w:rPr>
      </w:pPr>
      <w:r w:rsidRPr="002D4938">
        <w:rPr>
          <w:rStyle w:val="Standard1"/>
          <w:rFonts w:ascii="Minion Pro" w:hAnsi="Minion Pro"/>
        </w:rPr>
        <w:t>•</w:t>
      </w:r>
      <w:r w:rsidRPr="002D4938">
        <w:rPr>
          <w:rStyle w:val="Standard1"/>
          <w:rFonts w:ascii="Minion Pro" w:hAnsi="Minion Pro"/>
        </w:rPr>
        <w:tab/>
        <w:t xml:space="preserve">die verwendungs- oder zweckgebundene Leistung </w:t>
      </w:r>
      <w:r w:rsidRPr="002D4938">
        <w:rPr>
          <w:rStyle w:val="Standard1"/>
          <w:rFonts w:ascii="Minion Pro" w:hAnsi="Minion Pro"/>
          <w:b/>
        </w:rPr>
        <w:t>nicht</w:t>
      </w:r>
      <w:r w:rsidRPr="002D4938">
        <w:rPr>
          <w:rStyle w:val="Standard1"/>
          <w:rFonts w:ascii="Minion Pro" w:hAnsi="Minion Pro"/>
        </w:rPr>
        <w:t xml:space="preserve"> anstelle einer </w:t>
      </w:r>
      <w:r w:rsidRPr="002D4938">
        <w:rPr>
          <w:rStyle w:val="Standard1"/>
          <w:rFonts w:ascii="Minion Pro" w:hAnsi="Minion Pro"/>
          <w:b/>
        </w:rPr>
        <w:t>Erhöhung</w:t>
      </w:r>
      <w:r w:rsidRPr="002D4938">
        <w:rPr>
          <w:rStyle w:val="Standard1"/>
          <w:rFonts w:ascii="Minion Pro" w:hAnsi="Minion Pro"/>
        </w:rPr>
        <w:t xml:space="preserve"> des Arbeitslohns ge</w:t>
      </w:r>
      <w:r w:rsidR="00DB558F">
        <w:rPr>
          <w:rStyle w:val="Standard1"/>
          <w:rFonts w:ascii="Minion Pro" w:hAnsi="Minion Pro"/>
        </w:rPr>
        <w:softHyphen/>
      </w:r>
      <w:r w:rsidRPr="002D4938">
        <w:rPr>
          <w:rStyle w:val="Standard1"/>
          <w:rFonts w:ascii="Minion Pro" w:hAnsi="Minion Pro"/>
        </w:rPr>
        <w:t>währt wird.</w:t>
      </w:r>
    </w:p>
    <w:p w14:paraId="3C9779B1" w14:textId="77777777" w:rsidR="002D4938" w:rsidRPr="002D4938" w:rsidRDefault="002D4938" w:rsidP="00796C6B">
      <w:pPr>
        <w:spacing w:after="40"/>
        <w:rPr>
          <w:rStyle w:val="Standard1"/>
          <w:rFonts w:ascii="Minion Pro" w:hAnsi="Minion Pro"/>
        </w:rPr>
      </w:pPr>
      <w:r w:rsidRPr="002D4938">
        <w:rPr>
          <w:rStyle w:val="Standard1"/>
          <w:rFonts w:ascii="Minion Pro" w:hAnsi="Minion Pro"/>
        </w:rPr>
        <w:t>Dies würde bedeuten, dass bei einer Gehaltsumwandlung für die genannten Leistungen regelmäßig die Lohnsteuerfreiheit oder eine Lohnsteuerpauschalierung nicht in Betracht kommt. Die Finanzverwaltung wendet diese Regelung bere</w:t>
      </w:r>
      <w:r>
        <w:rPr>
          <w:rStyle w:val="Standard1"/>
          <w:rFonts w:ascii="Minion Pro" w:hAnsi="Minion Pro"/>
        </w:rPr>
        <w:t>its in allen offenen Fällen an.</w:t>
      </w:r>
      <w:r>
        <w:rPr>
          <w:rStyle w:val="Funotenzeichen"/>
        </w:rPr>
        <w:footnoteReference w:id="8"/>
      </w:r>
    </w:p>
    <w:p w14:paraId="1A243DC4" w14:textId="77777777" w:rsidR="006D6C03" w:rsidRPr="00530E64" w:rsidRDefault="002D4938" w:rsidP="00796C6B">
      <w:pPr>
        <w:spacing w:after="40"/>
      </w:pPr>
      <w:r w:rsidRPr="002D4938">
        <w:rPr>
          <w:rStyle w:val="Standard1"/>
          <w:rFonts w:ascii="Minion Pro" w:hAnsi="Minion Pro"/>
        </w:rPr>
        <w:t>Aufgrund einer bereits</w:t>
      </w:r>
      <w:r>
        <w:rPr>
          <w:rStyle w:val="Standard1"/>
          <w:rFonts w:ascii="Minion Pro" w:hAnsi="Minion Pro"/>
        </w:rPr>
        <w:t xml:space="preserve"> beschlossenen Gesetzesänderung</w:t>
      </w:r>
      <w:r>
        <w:rPr>
          <w:rStyle w:val="Funotenzeichen"/>
        </w:rPr>
        <w:footnoteReference w:id="9"/>
      </w:r>
      <w:r w:rsidRPr="002D4938">
        <w:rPr>
          <w:rStyle w:val="Standard1"/>
          <w:rFonts w:ascii="Minion Pro" w:hAnsi="Minion Pro"/>
        </w:rPr>
        <w:t xml:space="preserve"> hat diese Rege</w:t>
      </w:r>
      <w:r>
        <w:rPr>
          <w:rStyle w:val="Standard1"/>
          <w:rFonts w:ascii="Minion Pro" w:hAnsi="Minion Pro"/>
        </w:rPr>
        <w:t xml:space="preserve">lung auch Auswirkungen auf die </w:t>
      </w:r>
      <w:r w:rsidRPr="009F3975">
        <w:rPr>
          <w:rStyle w:val="Standard1"/>
          <w:rFonts w:ascii="Minion Pro" w:hAnsi="Minion Pro"/>
          <w:spacing w:val="-2"/>
        </w:rPr>
        <w:t xml:space="preserve">Besteuerung von </w:t>
      </w:r>
      <w:r w:rsidRPr="009F3975">
        <w:rPr>
          <w:rStyle w:val="Standard1"/>
          <w:rFonts w:ascii="Minion Pro" w:hAnsi="Minion Pro"/>
          <w:b/>
          <w:spacing w:val="-2"/>
        </w:rPr>
        <w:t>sonstigen Sachbezügen</w:t>
      </w:r>
      <w:r w:rsidRPr="009F3975">
        <w:rPr>
          <w:rStyle w:val="Standard1"/>
          <w:rFonts w:ascii="Minion Pro" w:hAnsi="Minion Pro"/>
          <w:spacing w:val="-2"/>
        </w:rPr>
        <w:t>, wie z.</w:t>
      </w:r>
      <w:r w:rsidR="009F3975">
        <w:rPr>
          <w:rStyle w:val="Standard1"/>
          <w:rFonts w:ascii="Minion Pro" w:hAnsi="Minion Pro"/>
          <w:spacing w:val="-2"/>
        </w:rPr>
        <w:t> </w:t>
      </w:r>
      <w:r w:rsidRPr="009F3975">
        <w:rPr>
          <w:rStyle w:val="Standard1"/>
          <w:rFonts w:ascii="Minion Pro" w:hAnsi="Minion Pro"/>
          <w:spacing w:val="-2"/>
        </w:rPr>
        <w:t>B. bei der Überlassung von (Tank-)Gutscheinen an Arbeit</w:t>
      </w:r>
      <w:r w:rsidR="009F3975" w:rsidRPr="009F3975">
        <w:rPr>
          <w:rStyle w:val="Standard1"/>
          <w:rFonts w:ascii="Minion Pro" w:hAnsi="Minion Pro"/>
          <w:spacing w:val="-2"/>
        </w:rPr>
        <w:softHyphen/>
      </w:r>
      <w:r w:rsidRPr="009F3975">
        <w:rPr>
          <w:rStyle w:val="Standard1"/>
          <w:rFonts w:ascii="Minion Pro" w:hAnsi="Minion Pro"/>
          <w:spacing w:val="-2"/>
        </w:rPr>
        <w:t>nehmer</w:t>
      </w:r>
      <w:r w:rsidRPr="002D4938">
        <w:rPr>
          <w:rStyle w:val="Standard1"/>
          <w:rFonts w:ascii="Minion Pro" w:hAnsi="Minion Pro"/>
        </w:rPr>
        <w:t xml:space="preserve">. Da die Anwendung der </w:t>
      </w:r>
      <w:r w:rsidRPr="002D4938">
        <w:rPr>
          <w:rStyle w:val="Standard1"/>
          <w:rFonts w:ascii="Minion Pro" w:hAnsi="Minion Pro"/>
          <w:b/>
        </w:rPr>
        <w:t>44 Euro-Freigrenze</w:t>
      </w:r>
      <w:r w:rsidRPr="002D4938">
        <w:rPr>
          <w:rStyle w:val="Standard1"/>
          <w:rFonts w:ascii="Minion Pro" w:hAnsi="Minion Pro"/>
        </w:rPr>
        <w:t xml:space="preserve"> seit dem 01.01.2020 davon abhängig ist, dass die o.</w:t>
      </w:r>
      <w:r w:rsidR="009F3975">
        <w:rPr>
          <w:rStyle w:val="Standard1"/>
          <w:rFonts w:ascii="Minion Pro" w:hAnsi="Minion Pro"/>
        </w:rPr>
        <w:t> </w:t>
      </w:r>
      <w:r w:rsidRPr="002D4938">
        <w:rPr>
          <w:rStyle w:val="Standard1"/>
          <w:rFonts w:ascii="Minion Pro" w:hAnsi="Minion Pro"/>
        </w:rPr>
        <w:t xml:space="preserve">a. </w:t>
      </w:r>
      <w:r w:rsidRPr="009F3975">
        <w:rPr>
          <w:rStyle w:val="Standard1"/>
          <w:rFonts w:ascii="Minion Pro" w:hAnsi="Minion Pro"/>
          <w:spacing w:val="-2"/>
        </w:rPr>
        <w:t>Voraussetzungen für eine „zusätzliche“ Leistung erfüllt sind, würden die Steuerbegünstigungen für sonstige</w:t>
      </w:r>
      <w:r w:rsidRPr="002D4938">
        <w:rPr>
          <w:rStyle w:val="Standard1"/>
          <w:rFonts w:ascii="Minion Pro" w:hAnsi="Minion Pro"/>
        </w:rPr>
        <w:t xml:space="preserve"> Sachbezüge im Rahmen einer Gehaltsumwandlung regelmäßig </w:t>
      </w:r>
      <w:r w:rsidRPr="002D4938">
        <w:rPr>
          <w:rStyle w:val="Standard1"/>
          <w:rFonts w:ascii="Minion Pro" w:hAnsi="Minion Pro"/>
          <w:b/>
        </w:rPr>
        <w:t>nicht</w:t>
      </w:r>
      <w:r w:rsidRPr="002D4938">
        <w:rPr>
          <w:rStyle w:val="Standard1"/>
          <w:rFonts w:ascii="Minion Pro" w:hAnsi="Minion Pro"/>
        </w:rPr>
        <w:t xml:space="preserve"> mehr in Betracht kommen.</w:t>
      </w:r>
    </w:p>
    <w:p w14:paraId="7B624019" w14:textId="77777777" w:rsidR="006D6C03" w:rsidRDefault="00E51350" w:rsidP="00796C6B">
      <w:pPr>
        <w:pStyle w:val="berschrift1"/>
        <w:spacing w:before="400"/>
      </w:pPr>
      <w:r>
        <w:rPr>
          <w:noProof/>
          <w:sz w:val="20"/>
        </w:rPr>
        <mc:AlternateContent>
          <mc:Choice Requires="wps">
            <w:drawing>
              <wp:anchor distT="0" distB="0" distL="114300" distR="114300" simplePos="0" relativeHeight="251659264" behindDoc="1" locked="0" layoutInCell="1" allowOverlap="0" wp14:anchorId="499F44A8" wp14:editId="7E19B5C6">
                <wp:simplePos x="0" y="0"/>
                <wp:positionH relativeFrom="page">
                  <wp:posOffset>622935</wp:posOffset>
                </wp:positionH>
                <wp:positionV relativeFrom="paragraph">
                  <wp:posOffset>219710</wp:posOffset>
                </wp:positionV>
                <wp:extent cx="6120000" cy="180000"/>
                <wp:effectExtent l="0" t="0" r="0" b="0"/>
                <wp:wrapNone/>
                <wp:docPr id="14"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18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3010C" w14:textId="77777777" w:rsidR="00E11384" w:rsidRDefault="00E11384">
                            <w:pPr>
                              <w:rPr>
                                <w:color w:val="9999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F44A8" id="Text Box 128" o:spid="_x0000_s1032" type="#_x0000_t202" style="position:absolute;left:0;text-align:left;margin-left:49.05pt;margin-top:17.3pt;width:481.9pt;height:1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" o:allowoverlap="f" fillcolor="silver" stroked="f">
                <v:textbox>
                  <w:txbxContent>
                    <w:p w14:paraId="4373010C" w14:textId="77777777" w:rsidR="00E11384" w:rsidRDefault="00E11384">
                      <w:pPr>
                        <w:rPr>
                          <w:color w:val="999999"/>
                        </w:rPr>
                      </w:pPr>
                    </w:p>
                  </w:txbxContent>
                </v:textbox>
                <w10:wrap anchorx="page"/>
              </v:shape>
            </w:pict>
          </mc:Fallback>
        </mc:AlternateContent>
      </w:r>
      <w:r w:rsidR="006D6C03">
        <w:tab/>
      </w:r>
      <w:r w:rsidR="006D6C03">
        <w:rPr>
          <w:rStyle w:val="Ueber1Zahl"/>
        </w:rPr>
        <w:t>3</w:t>
      </w:r>
      <w:r w:rsidR="006D6C03">
        <w:tab/>
      </w:r>
      <w:r w:rsidR="008242C0" w:rsidRPr="008242C0">
        <w:t>Berücksichtigung  von  Verlusten  bei  Kapitalforderungen</w:t>
      </w:r>
    </w:p>
    <w:p w14:paraId="0341EC42" w14:textId="77777777" w:rsidR="008242C0" w:rsidRPr="008242C0" w:rsidRDefault="008242C0" w:rsidP="00796C6B">
      <w:pPr>
        <w:spacing w:after="40"/>
        <w:rPr>
          <w:rStyle w:val="Standard1"/>
          <w:rFonts w:ascii="Minion Pro" w:hAnsi="Minion Pro"/>
        </w:rPr>
      </w:pPr>
      <w:r w:rsidRPr="008242C0">
        <w:rPr>
          <w:rStyle w:val="Standard1"/>
          <w:rFonts w:ascii="Minion Pro" w:hAnsi="Minion Pro"/>
          <w:spacing w:val="-2"/>
        </w:rPr>
        <w:t>Seit 2009 sind nicht nur private Erträge aus Kapitalvermögen, wie z.</w:t>
      </w:r>
      <w:r>
        <w:rPr>
          <w:rStyle w:val="Standard1"/>
          <w:rFonts w:ascii="Minion Pro" w:hAnsi="Minion Pro"/>
          <w:spacing w:val="-2"/>
        </w:rPr>
        <w:t> </w:t>
      </w:r>
      <w:r w:rsidRPr="008242C0">
        <w:rPr>
          <w:rStyle w:val="Standard1"/>
          <w:rFonts w:ascii="Minion Pro" w:hAnsi="Minion Pro"/>
          <w:spacing w:val="-2"/>
        </w:rPr>
        <w:t>B. Zinsen, Dividenden oder Gewinnaus</w:t>
      </w:r>
      <w:r w:rsidRPr="008242C0">
        <w:rPr>
          <w:rStyle w:val="Standard1"/>
          <w:rFonts w:ascii="Minion Pro" w:hAnsi="Minion Pro"/>
          <w:spacing w:val="-2"/>
        </w:rPr>
        <w:softHyphen/>
        <w:t>schüttungen</w:t>
      </w:r>
      <w:r w:rsidRPr="008242C0">
        <w:rPr>
          <w:rStyle w:val="Standard1"/>
          <w:rFonts w:ascii="Minion Pro" w:hAnsi="Minion Pro"/>
        </w:rPr>
        <w:t>, sondern grundsätzlich auch Gewinne aus der Veräußerung des Kapitalvermögens selbst (z.</w:t>
      </w:r>
      <w:r>
        <w:rPr>
          <w:rStyle w:val="Standard1"/>
          <w:rFonts w:ascii="Minion Pro" w:hAnsi="Minion Pro"/>
        </w:rPr>
        <w:t> </w:t>
      </w:r>
      <w:r w:rsidRPr="008242C0">
        <w:rPr>
          <w:rStyle w:val="Standard1"/>
          <w:rFonts w:ascii="Minion Pro" w:hAnsi="Minion Pro"/>
        </w:rPr>
        <w:t xml:space="preserve">B. Aktien, Wertpapiere oder GmbH-Anteile) der Besteuerung zu unterwerfen. Dies bedeutet andererseits aber </w:t>
      </w:r>
      <w:r w:rsidRPr="008242C0">
        <w:rPr>
          <w:rStyle w:val="Standard1"/>
          <w:rFonts w:ascii="Minion Pro" w:hAnsi="Minion Pro"/>
          <w:spacing w:val="-2"/>
        </w:rPr>
        <w:t xml:space="preserve">auch, dass regelmäßig entsprechende Verluste z. B. aus dem Ausfall von </w:t>
      </w:r>
      <w:r w:rsidRPr="008242C0">
        <w:rPr>
          <w:rStyle w:val="Standard1"/>
          <w:rFonts w:ascii="Minion Pro" w:hAnsi="Minion Pro"/>
          <w:b/>
          <w:spacing w:val="-2"/>
        </w:rPr>
        <w:t>Kapitalforderungen</w:t>
      </w:r>
      <w:r w:rsidRPr="008242C0">
        <w:rPr>
          <w:rStyle w:val="Standard1"/>
          <w:rFonts w:ascii="Minion Pro" w:hAnsi="Minion Pro"/>
          <w:spacing w:val="-2"/>
        </w:rPr>
        <w:t xml:space="preserve"> damit steuer</w:t>
      </w:r>
      <w:r w:rsidRPr="008242C0">
        <w:rPr>
          <w:rStyle w:val="Standard1"/>
          <w:rFonts w:ascii="Minion Pro" w:hAnsi="Minion Pro"/>
          <w:spacing w:val="-2"/>
        </w:rPr>
        <w:softHyphen/>
        <w:t>lich</w:t>
      </w:r>
      <w:r w:rsidRPr="008242C0">
        <w:rPr>
          <w:rStyle w:val="Standard1"/>
          <w:rFonts w:ascii="Minion Pro" w:hAnsi="Minion Pro"/>
        </w:rPr>
        <w:t xml:space="preserve"> wirksam geltend gemacht werden können.</w:t>
      </w:r>
    </w:p>
    <w:p w14:paraId="1311461E" w14:textId="1D98D12B" w:rsidR="008242C0" w:rsidRPr="008242C0" w:rsidRDefault="008242C0" w:rsidP="00796C6B">
      <w:pPr>
        <w:spacing w:after="40"/>
        <w:rPr>
          <w:rStyle w:val="Standard1"/>
          <w:rFonts w:ascii="Minion Pro" w:hAnsi="Minion Pro"/>
        </w:rPr>
      </w:pPr>
      <w:r w:rsidRPr="008242C0">
        <w:rPr>
          <w:rStyle w:val="Standard1"/>
          <w:rFonts w:ascii="Minion Pro" w:hAnsi="Minion Pro"/>
        </w:rPr>
        <w:t xml:space="preserve">Handelt es sich um ein </w:t>
      </w:r>
      <w:r w:rsidRPr="008242C0">
        <w:rPr>
          <w:rStyle w:val="Standard1"/>
          <w:rFonts w:ascii="Minion Pro" w:hAnsi="Minion Pro"/>
          <w:b/>
        </w:rPr>
        <w:t>Darlehen</w:t>
      </w:r>
      <w:r w:rsidRPr="008242C0">
        <w:rPr>
          <w:rStyle w:val="Standard1"/>
          <w:rFonts w:ascii="Minion Pro" w:hAnsi="Minion Pro"/>
        </w:rPr>
        <w:t xml:space="preserve">, das ein </w:t>
      </w:r>
      <w:r w:rsidRPr="008242C0">
        <w:rPr>
          <w:rStyle w:val="Standard1"/>
          <w:rFonts w:ascii="Minion Pro" w:hAnsi="Minion Pro"/>
          <w:b/>
        </w:rPr>
        <w:t>Gesellschafter</w:t>
      </w:r>
      <w:r w:rsidRPr="008242C0">
        <w:rPr>
          <w:rStyle w:val="Standard1"/>
          <w:rFonts w:ascii="Minion Pro" w:hAnsi="Minion Pro"/>
        </w:rPr>
        <w:t xml:space="preserve"> „seiner“ GmbH zur Unterstützung in einer wirt</w:t>
      </w:r>
      <w:r w:rsidR="00796C6B">
        <w:rPr>
          <w:rStyle w:val="Standard1"/>
          <w:rFonts w:ascii="Minion Pro" w:hAnsi="Minion Pro"/>
        </w:rPr>
        <w:softHyphen/>
      </w:r>
      <w:r w:rsidRPr="008242C0">
        <w:rPr>
          <w:rStyle w:val="Standard1"/>
          <w:rFonts w:ascii="Minion Pro" w:hAnsi="Minion Pro"/>
        </w:rPr>
        <w:t xml:space="preserve">schaftlichen Krise gewährt, war umstritten, wie der Ausfall des Darlehens </w:t>
      </w:r>
      <w:r>
        <w:rPr>
          <w:rStyle w:val="Standard1"/>
          <w:rFonts w:ascii="Minion Pro" w:hAnsi="Minion Pro"/>
        </w:rPr>
        <w:t>im Insolvenzfall steuerlich zu behandeln ist.</w:t>
      </w:r>
      <w:r>
        <w:rPr>
          <w:rStyle w:val="Funotenzeichen"/>
        </w:rPr>
        <w:footnoteReference w:id="10"/>
      </w:r>
      <w:r>
        <w:rPr>
          <w:rStyle w:val="Standard1"/>
          <w:rFonts w:ascii="Minion Pro" w:hAnsi="Minion Pro"/>
        </w:rPr>
        <w:t xml:space="preserve"> Durch eine Gesetzesänderung</w:t>
      </w:r>
      <w:r>
        <w:rPr>
          <w:rStyle w:val="Funotenzeichen"/>
        </w:rPr>
        <w:footnoteReference w:id="11"/>
      </w:r>
      <w:r w:rsidRPr="008242C0">
        <w:rPr>
          <w:rStyle w:val="Standard1"/>
          <w:rFonts w:ascii="Minion Pro" w:hAnsi="Minion Pro"/>
        </w:rPr>
        <w:t xml:space="preserve"> ist nunmehr geregelt, dass Darlehensverluste, soweit die Gewährung des Darlehens oder das Stehenlassen des Darlehens in der Krise der Gesellschaft </w:t>
      </w:r>
      <w:r w:rsidRPr="00796C6B">
        <w:rPr>
          <w:rStyle w:val="Standard1"/>
          <w:rFonts w:ascii="Minion Pro" w:hAnsi="Minion Pro"/>
          <w:b/>
          <w:spacing w:val="-2"/>
        </w:rPr>
        <w:t>gesellschafts</w:t>
      </w:r>
      <w:r w:rsidR="00796C6B" w:rsidRPr="00796C6B">
        <w:rPr>
          <w:rStyle w:val="Standard1"/>
          <w:rFonts w:ascii="Minion Pro" w:hAnsi="Minion Pro"/>
          <w:b/>
          <w:spacing w:val="-2"/>
        </w:rPr>
        <w:softHyphen/>
      </w:r>
      <w:r w:rsidRPr="00796C6B">
        <w:rPr>
          <w:rStyle w:val="Standard1"/>
          <w:rFonts w:ascii="Minion Pro" w:hAnsi="Minion Pro"/>
          <w:b/>
          <w:spacing w:val="-2"/>
        </w:rPr>
        <w:t>rechtlich</w:t>
      </w:r>
      <w:r w:rsidRPr="00796C6B">
        <w:rPr>
          <w:rStyle w:val="Standard1"/>
          <w:rFonts w:ascii="Minion Pro" w:hAnsi="Minion Pro"/>
          <w:spacing w:val="-2"/>
        </w:rPr>
        <w:t xml:space="preserve"> veranlasst war – ebenso wie Kapitaleinlagen –, zu den </w:t>
      </w:r>
      <w:r w:rsidRPr="00796C6B">
        <w:rPr>
          <w:rStyle w:val="Standard1"/>
          <w:rFonts w:ascii="Minion Pro" w:hAnsi="Minion Pro"/>
          <w:b/>
          <w:spacing w:val="-2"/>
        </w:rPr>
        <w:t>(nachträglichen) Anschaffungskosten</w:t>
      </w:r>
      <w:r w:rsidRPr="00796C6B">
        <w:rPr>
          <w:rStyle w:val="Standard1"/>
          <w:rFonts w:ascii="Minion Pro" w:hAnsi="Minion Pro"/>
          <w:spacing w:val="-2"/>
        </w:rPr>
        <w:t xml:space="preserve"> der</w:t>
      </w:r>
      <w:r w:rsidRPr="008242C0">
        <w:rPr>
          <w:rStyle w:val="Standard1"/>
          <w:rFonts w:ascii="Minion Pro" w:hAnsi="Minion Pro"/>
        </w:rPr>
        <w:t xml:space="preserve"> </w:t>
      </w:r>
      <w:r w:rsidRPr="00796C6B">
        <w:rPr>
          <w:rStyle w:val="Standard1"/>
          <w:rFonts w:ascii="Minion Pro" w:hAnsi="Minion Pro"/>
          <w:spacing w:val="-2"/>
        </w:rPr>
        <w:t>Kapitalbeteiligung i.</w:t>
      </w:r>
      <w:r w:rsidR="00796C6B" w:rsidRPr="00796C6B">
        <w:rPr>
          <w:rStyle w:val="Standard1"/>
          <w:rFonts w:ascii="Minion Pro" w:hAnsi="Minion Pro"/>
          <w:spacing w:val="-2"/>
        </w:rPr>
        <w:t> </w:t>
      </w:r>
      <w:r w:rsidRPr="00796C6B">
        <w:rPr>
          <w:rStyle w:val="Standard1"/>
          <w:rFonts w:ascii="Minion Pro" w:hAnsi="Minion Pro"/>
          <w:spacing w:val="-2"/>
        </w:rPr>
        <w:t>S. des § 17 EStG führen. Eine gesellschaftsrechtliche Veranlassung liegt regelmäßig vor,</w:t>
      </w:r>
      <w:r w:rsidRPr="008242C0">
        <w:rPr>
          <w:rStyle w:val="Standard1"/>
          <w:rFonts w:ascii="Minion Pro" w:hAnsi="Minion Pro"/>
        </w:rPr>
        <w:t xml:space="preserve"> wenn ein fremder Dritter das Darlehen bei sonst gleichen Umständen zurückgefor</w:t>
      </w:r>
      <w:r w:rsidR="00796C6B">
        <w:rPr>
          <w:rStyle w:val="Standard1"/>
          <w:rFonts w:ascii="Minion Pro" w:hAnsi="Minion Pro"/>
        </w:rPr>
        <w:t>dert oder nicht gewährt hätte.</w:t>
      </w:r>
      <w:r w:rsidR="00796C6B">
        <w:rPr>
          <w:rStyle w:val="Funotenzeichen"/>
        </w:rPr>
        <w:footnoteReference w:id="12"/>
      </w:r>
    </w:p>
    <w:p w14:paraId="18BBB1D6" w14:textId="77777777" w:rsidR="008242C0" w:rsidRPr="008242C0" w:rsidRDefault="008242C0" w:rsidP="00796C6B">
      <w:pPr>
        <w:spacing w:after="40"/>
        <w:rPr>
          <w:rStyle w:val="Standard1"/>
          <w:rFonts w:ascii="Minion Pro" w:hAnsi="Minion Pro"/>
        </w:rPr>
      </w:pPr>
      <w:r w:rsidRPr="00796C6B">
        <w:rPr>
          <w:rStyle w:val="Standard1"/>
          <w:rFonts w:ascii="Minion Pro" w:hAnsi="Minion Pro"/>
          <w:spacing w:val="-2"/>
        </w:rPr>
        <w:t>Das bedeutet, dass in diesen Fällen der Wert des Darlehensausfalls einen späteren Veräußerungs- oder Auflö</w:t>
      </w:r>
      <w:r w:rsidR="00796C6B" w:rsidRPr="00796C6B">
        <w:rPr>
          <w:rStyle w:val="Standard1"/>
          <w:rFonts w:ascii="Minion Pro" w:hAnsi="Minion Pro"/>
          <w:spacing w:val="-2"/>
        </w:rPr>
        <w:softHyphen/>
      </w:r>
      <w:r w:rsidRPr="00796C6B">
        <w:rPr>
          <w:rStyle w:val="Standard1"/>
          <w:rFonts w:ascii="Minion Pro" w:hAnsi="Minion Pro"/>
          <w:spacing w:val="-2"/>
        </w:rPr>
        <w:t>sungsgewinn</w:t>
      </w:r>
      <w:r w:rsidRPr="008242C0">
        <w:rPr>
          <w:rStyle w:val="Standard1"/>
          <w:rFonts w:ascii="Minion Pro" w:hAnsi="Minion Pro"/>
        </w:rPr>
        <w:t xml:space="preserve"> mindert bzw. einen Veräußerungsverlust erhöht. Der Darlehensverlust ist dann zwar auch mit anderen Einkünften verrechenbar, eine steuerliche Berücksichtigung kommt aber nur in Höhe von 60</w:t>
      </w:r>
      <w:r w:rsidR="00796C6B">
        <w:rPr>
          <w:rStyle w:val="Standard1"/>
          <w:rFonts w:ascii="Minion Pro" w:hAnsi="Minion Pro"/>
        </w:rPr>
        <w:t> </w:t>
      </w:r>
      <w:r w:rsidRPr="008242C0">
        <w:rPr>
          <w:rStyle w:val="Standard1"/>
          <w:rFonts w:ascii="Minion Pro" w:hAnsi="Minion Pro"/>
        </w:rPr>
        <w:t>% im Rahmen des Teileinkünfteverfahrens in Betracht.</w:t>
      </w:r>
    </w:p>
    <w:p w14:paraId="73A22D6A" w14:textId="77777777" w:rsidR="008242C0" w:rsidRPr="008242C0" w:rsidRDefault="008242C0" w:rsidP="00796C6B">
      <w:pPr>
        <w:spacing w:after="40"/>
        <w:rPr>
          <w:rStyle w:val="Standard1"/>
          <w:rFonts w:ascii="Minion Pro" w:hAnsi="Minion Pro"/>
        </w:rPr>
      </w:pPr>
      <w:r w:rsidRPr="00796C6B">
        <w:rPr>
          <w:rStyle w:val="Standard1"/>
          <w:rFonts w:ascii="Minion Pro" w:hAnsi="Minion Pro"/>
          <w:b/>
          <w:spacing w:val="-2"/>
        </w:rPr>
        <w:t>Andere</w:t>
      </w:r>
      <w:r w:rsidRPr="00796C6B">
        <w:rPr>
          <w:rStyle w:val="Standard1"/>
          <w:rFonts w:ascii="Minion Pro" w:hAnsi="Minion Pro"/>
          <w:spacing w:val="-2"/>
        </w:rPr>
        <w:t xml:space="preserve"> Verluste aus der Veräußerung von privatem Kapitalvermögen – wie z.</w:t>
      </w:r>
      <w:r w:rsidR="00796C6B">
        <w:rPr>
          <w:rStyle w:val="Standard1"/>
          <w:rFonts w:ascii="Minion Pro" w:hAnsi="Minion Pro"/>
          <w:spacing w:val="-2"/>
        </w:rPr>
        <w:t> </w:t>
      </w:r>
      <w:r w:rsidRPr="00796C6B">
        <w:rPr>
          <w:rStyle w:val="Standard1"/>
          <w:rFonts w:ascii="Minion Pro" w:hAnsi="Minion Pro"/>
          <w:spacing w:val="-2"/>
        </w:rPr>
        <w:t xml:space="preserve">B. aus Termin- oder </w:t>
      </w:r>
      <w:r w:rsidRPr="00796C6B">
        <w:rPr>
          <w:rStyle w:val="Standard1"/>
          <w:rFonts w:ascii="Minion Pro" w:hAnsi="Minion Pro"/>
          <w:b/>
          <w:spacing w:val="-2"/>
        </w:rPr>
        <w:t>Aktien</w:t>
      </w:r>
      <w:r w:rsidR="00796C6B" w:rsidRPr="00796C6B">
        <w:rPr>
          <w:rStyle w:val="Standard1"/>
          <w:rFonts w:ascii="Minion Pro" w:hAnsi="Minion Pro"/>
          <w:b/>
          <w:spacing w:val="-2"/>
        </w:rPr>
        <w:softHyphen/>
      </w:r>
      <w:r w:rsidRPr="00796C6B">
        <w:rPr>
          <w:rStyle w:val="Standard1"/>
          <w:rFonts w:ascii="Minion Pro" w:hAnsi="Minion Pro"/>
          <w:b/>
          <w:spacing w:val="-2"/>
        </w:rPr>
        <w:t>geschäften</w:t>
      </w:r>
      <w:r w:rsidRPr="008242C0">
        <w:rPr>
          <w:rStyle w:val="Standard1"/>
          <w:rFonts w:ascii="Minion Pro" w:hAnsi="Minion Pro"/>
        </w:rPr>
        <w:t xml:space="preserve"> – waren bisher schon nur mit anderen Kapitaleinkünften (bei</w:t>
      </w:r>
      <w:r>
        <w:rPr>
          <w:rStyle w:val="Standard1"/>
          <w:rFonts w:ascii="Minion Pro" w:hAnsi="Minion Pro"/>
        </w:rPr>
        <w:t xml:space="preserve"> Aktienverlusten nur mit Aktien</w:t>
      </w:r>
      <w:r w:rsidR="00796C6B">
        <w:rPr>
          <w:rStyle w:val="Standard1"/>
          <w:rFonts w:ascii="Minion Pro" w:hAnsi="Minion Pro"/>
        </w:rPr>
        <w:softHyphen/>
      </w:r>
      <w:r w:rsidRPr="008242C0">
        <w:rPr>
          <w:rStyle w:val="Standard1"/>
          <w:rFonts w:ascii="Minion Pro" w:hAnsi="Minion Pro"/>
        </w:rPr>
        <w:t>gewinnen) verrechenbar. Dies gilt jetzt auch für den Ausfall einer nach A</w:t>
      </w:r>
      <w:r w:rsidR="00796C6B">
        <w:rPr>
          <w:rStyle w:val="Standard1"/>
          <w:rFonts w:ascii="Minion Pro" w:hAnsi="Minion Pro"/>
        </w:rPr>
        <w:t>uffassung des Bundesfinanzhofs</w:t>
      </w:r>
      <w:r w:rsidR="00796C6B">
        <w:rPr>
          <w:rStyle w:val="Funotenzeichen"/>
        </w:rPr>
        <w:footnoteReference w:id="13"/>
      </w:r>
      <w:r w:rsidRPr="008242C0">
        <w:rPr>
          <w:rStyle w:val="Standard1"/>
          <w:rFonts w:ascii="Minion Pro" w:hAnsi="Minion Pro"/>
        </w:rPr>
        <w:t xml:space="preserve"> als Kapitalverlust zu berücksichtigenden </w:t>
      </w:r>
      <w:r w:rsidRPr="008242C0">
        <w:rPr>
          <w:rStyle w:val="Standard1"/>
          <w:rFonts w:ascii="Minion Pro" w:hAnsi="Minion Pro"/>
          <w:b/>
        </w:rPr>
        <w:t>privaten Darlehensforderung</w:t>
      </w:r>
      <w:r w:rsidRPr="008242C0">
        <w:rPr>
          <w:rStyle w:val="Standard1"/>
          <w:rFonts w:ascii="Minion Pro" w:hAnsi="Minion Pro"/>
        </w:rPr>
        <w:t>.</w:t>
      </w:r>
    </w:p>
    <w:p w14:paraId="2FB53112" w14:textId="77777777" w:rsidR="000B4436" w:rsidRPr="00AA48FF" w:rsidRDefault="008242C0" w:rsidP="0019606D">
      <w:pPr>
        <w:spacing w:after="60"/>
        <w:rPr>
          <w:rStyle w:val="Standard1"/>
          <w:rFonts w:ascii="Minion Pro" w:hAnsi="Minion Pro"/>
        </w:rPr>
      </w:pPr>
      <w:r w:rsidRPr="0062207F">
        <w:rPr>
          <w:rStyle w:val="Standard1"/>
          <w:rFonts w:ascii="Minion Pro" w:hAnsi="Minion Pro"/>
          <w:spacing w:val="-2"/>
        </w:rPr>
        <w:lastRenderedPageBreak/>
        <w:t>Allerdings hat der Gesetzgeber hier eine weitere Einschränkung eingeführt: Eine Verrechnung von Verlusten</w:t>
      </w:r>
      <w:r w:rsidRPr="008242C0">
        <w:rPr>
          <w:rStyle w:val="Standard1"/>
          <w:rFonts w:ascii="Minion Pro" w:hAnsi="Minion Pro"/>
        </w:rPr>
        <w:t xml:space="preserve"> </w:t>
      </w:r>
      <w:r w:rsidRPr="0062207F">
        <w:rPr>
          <w:rStyle w:val="Standard1"/>
          <w:rFonts w:ascii="Minion Pro" w:hAnsi="Minion Pro"/>
          <w:spacing w:val="-2"/>
        </w:rPr>
        <w:t>aus dem Ausfall von Kapitalforderungen (z.</w:t>
      </w:r>
      <w:r w:rsidR="0062207F">
        <w:rPr>
          <w:rStyle w:val="Standard1"/>
          <w:rFonts w:ascii="Minion Pro" w:hAnsi="Minion Pro"/>
          <w:spacing w:val="-2"/>
        </w:rPr>
        <w:t> </w:t>
      </w:r>
      <w:r w:rsidRPr="0062207F">
        <w:rPr>
          <w:rStyle w:val="Standard1"/>
          <w:rFonts w:ascii="Minion Pro" w:hAnsi="Minion Pro"/>
          <w:spacing w:val="-2"/>
        </w:rPr>
        <w:t>B. bei Insolvenz des Schuldners) mit anderen Kapitaleinkünften</w:t>
      </w:r>
      <w:r w:rsidRPr="008242C0">
        <w:rPr>
          <w:rStyle w:val="Standard1"/>
          <w:rFonts w:ascii="Minion Pro" w:hAnsi="Minion Pro"/>
        </w:rPr>
        <w:t xml:space="preserve"> </w:t>
      </w:r>
      <w:r w:rsidRPr="0062207F">
        <w:rPr>
          <w:rStyle w:val="Standard1"/>
          <w:rFonts w:ascii="Minion Pro" w:hAnsi="Minion Pro"/>
          <w:spacing w:val="-2"/>
        </w:rPr>
        <w:t xml:space="preserve">ist künftig regelmäßig nur noch </w:t>
      </w:r>
      <w:r w:rsidRPr="0062207F">
        <w:rPr>
          <w:rStyle w:val="Standard1"/>
          <w:rFonts w:ascii="Minion Pro" w:hAnsi="Minion Pro"/>
          <w:b/>
          <w:spacing w:val="-2"/>
        </w:rPr>
        <w:t>bis zur Höhe von 10.000 Euro</w:t>
      </w:r>
      <w:r w:rsidRPr="0062207F">
        <w:rPr>
          <w:rStyle w:val="Standard1"/>
          <w:rFonts w:ascii="Minion Pro" w:hAnsi="Minion Pro"/>
          <w:spacing w:val="-2"/>
        </w:rPr>
        <w:t xml:space="preserve"> jährlich möglich; diese Begrenzung gilt auch</w:t>
      </w:r>
      <w:r w:rsidRPr="008242C0">
        <w:rPr>
          <w:rStyle w:val="Standard1"/>
          <w:rFonts w:ascii="Minion Pro" w:hAnsi="Minion Pro"/>
        </w:rPr>
        <w:t xml:space="preserve"> bei Geltendmachung von nicht verrechne</w:t>
      </w:r>
      <w:r w:rsidR="00796C6B">
        <w:rPr>
          <w:rStyle w:val="Standard1"/>
          <w:rFonts w:ascii="Minion Pro" w:hAnsi="Minion Pro"/>
        </w:rPr>
        <w:t>ten Verlusten in Folgejahren.</w:t>
      </w:r>
      <w:r w:rsidR="00796C6B">
        <w:rPr>
          <w:rStyle w:val="Funotenzeichen"/>
        </w:rPr>
        <w:footnoteReference w:id="14"/>
      </w:r>
    </w:p>
    <w:p w14:paraId="5528593A" w14:textId="77777777" w:rsidR="006D6C03" w:rsidRDefault="00E51350" w:rsidP="0019606D">
      <w:pPr>
        <w:pStyle w:val="berschrift1"/>
        <w:spacing w:before="400"/>
      </w:pPr>
      <w:r>
        <w:rPr>
          <w:noProof/>
          <w:sz w:val="20"/>
        </w:rPr>
        <mc:AlternateContent>
          <mc:Choice Requires="wps">
            <w:drawing>
              <wp:anchor distT="0" distB="0" distL="114300" distR="114300" simplePos="0" relativeHeight="251660288" behindDoc="1" locked="0" layoutInCell="1" allowOverlap="0" wp14:anchorId="3B5F577A" wp14:editId="53ABC88C">
                <wp:simplePos x="0" y="0"/>
                <wp:positionH relativeFrom="page">
                  <wp:posOffset>622935</wp:posOffset>
                </wp:positionH>
                <wp:positionV relativeFrom="paragraph">
                  <wp:posOffset>208915</wp:posOffset>
                </wp:positionV>
                <wp:extent cx="6120000" cy="180000"/>
                <wp:effectExtent l="0" t="0" r="0" b="0"/>
                <wp:wrapNone/>
                <wp:docPr id="13"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18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928A0A" w14:textId="77777777" w:rsidR="00E11384" w:rsidRDefault="00E11384">
                            <w:pPr>
                              <w:rPr>
                                <w:color w:val="9999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F577A" id="Text Box 166" o:spid="_x0000_s1033" type="#_x0000_t202" style="position:absolute;left:0;text-align:left;margin-left:49.05pt;margin-top:16.45pt;width:481.9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" o:allowoverlap="f" fillcolor="silver" stroked="f">
                <v:textbox>
                  <w:txbxContent>
                    <w:p w14:paraId="35928A0A" w14:textId="77777777" w:rsidR="00E11384" w:rsidRDefault="00E11384">
                      <w:pPr>
                        <w:rPr>
                          <w:color w:val="999999"/>
                        </w:rPr>
                      </w:pPr>
                    </w:p>
                  </w:txbxContent>
                </v:textbox>
                <w10:wrap anchorx="page"/>
              </v:shape>
            </w:pict>
          </mc:Fallback>
        </mc:AlternateContent>
      </w:r>
      <w:r w:rsidR="006D6C03">
        <w:rPr>
          <w:rStyle w:val="Ueber1Zahl"/>
        </w:rPr>
        <w:tab/>
        <w:t>4</w:t>
      </w:r>
      <w:r w:rsidR="006D6C03">
        <w:tab/>
      </w:r>
      <w:r w:rsidR="0062207F" w:rsidRPr="0062207F">
        <w:t>Versteuerung  nach  vereinnahmten  Entgelten:  Voraussetzungen  erweitert</w:t>
      </w:r>
    </w:p>
    <w:p w14:paraId="07F3F02C" w14:textId="77777777" w:rsidR="0062207F" w:rsidRPr="0062207F" w:rsidRDefault="0062207F" w:rsidP="0019606D">
      <w:pPr>
        <w:spacing w:after="60"/>
        <w:rPr>
          <w:rStyle w:val="Standard1"/>
          <w:rFonts w:ascii="Minion Pro" w:hAnsi="Minion Pro"/>
        </w:rPr>
      </w:pPr>
      <w:r w:rsidRPr="0062207F">
        <w:rPr>
          <w:rStyle w:val="Standard1"/>
          <w:rFonts w:ascii="Minion Pro" w:hAnsi="Minion Pro"/>
        </w:rPr>
        <w:t xml:space="preserve">Für die Umsatzsteuer gilt der Grundsatz der Versteuerung nach </w:t>
      </w:r>
      <w:r w:rsidRPr="0062207F">
        <w:rPr>
          <w:rStyle w:val="Standard1"/>
          <w:rFonts w:ascii="Minion Pro" w:hAnsi="Minion Pro"/>
          <w:b/>
        </w:rPr>
        <w:t>vereinbarten</w:t>
      </w:r>
      <w:r w:rsidRPr="0062207F">
        <w:rPr>
          <w:rStyle w:val="Standard1"/>
          <w:rFonts w:ascii="Minion Pro" w:hAnsi="Minion Pro"/>
        </w:rPr>
        <w:t xml:space="preserve"> Entgelten. Dabei entsteht die Umsatzsteuer regelmäßig bereits dann, wenn die Leistung erbracht wird. Somit wird die Umsatzsteuer ggf. </w:t>
      </w:r>
      <w:r w:rsidRPr="0062207F">
        <w:rPr>
          <w:rStyle w:val="Standard1"/>
          <w:rFonts w:ascii="Minion Pro" w:hAnsi="Minion Pro"/>
          <w:spacing w:val="-2"/>
        </w:rPr>
        <w:t xml:space="preserve">schon fällig, bevor der Rechnungsbetrag eingegangen ist. Eine Versteuerung nach </w:t>
      </w:r>
      <w:r w:rsidRPr="0062207F">
        <w:rPr>
          <w:rStyle w:val="Standard1"/>
          <w:rFonts w:ascii="Minion Pro" w:hAnsi="Minion Pro"/>
          <w:b/>
          <w:spacing w:val="-2"/>
        </w:rPr>
        <w:t>vereinnahmten</w:t>
      </w:r>
      <w:r w:rsidRPr="0062207F">
        <w:rPr>
          <w:rStyle w:val="Standard1"/>
          <w:rFonts w:ascii="Minion Pro" w:hAnsi="Minion Pro"/>
          <w:spacing w:val="-2"/>
        </w:rPr>
        <w:t xml:space="preserve"> Entgelten</w:t>
      </w:r>
      <w:r w:rsidRPr="0062207F">
        <w:rPr>
          <w:rStyle w:val="Standard1"/>
          <w:rFonts w:ascii="Minion Pro" w:hAnsi="Minion Pro"/>
        </w:rPr>
        <w:t xml:space="preserve"> ist nur zulässig,</w:t>
      </w:r>
    </w:p>
    <w:p w14:paraId="34518341" w14:textId="77777777" w:rsidR="0062207F" w:rsidRPr="0062207F" w:rsidRDefault="0062207F" w:rsidP="0019606D">
      <w:pPr>
        <w:spacing w:after="60"/>
        <w:ind w:left="765" w:hanging="198"/>
        <w:rPr>
          <w:rStyle w:val="Standard1"/>
          <w:rFonts w:ascii="Minion Pro" w:hAnsi="Minion Pro"/>
        </w:rPr>
      </w:pPr>
      <w:r w:rsidRPr="0062207F">
        <w:rPr>
          <w:rStyle w:val="Standard1"/>
          <w:rFonts w:ascii="Minion Pro" w:hAnsi="Minion Pro"/>
        </w:rPr>
        <w:t>•</w:t>
      </w:r>
      <w:r w:rsidRPr="0062207F">
        <w:rPr>
          <w:rStyle w:val="Standard1"/>
          <w:rFonts w:ascii="Minion Pro" w:hAnsi="Minion Pro"/>
        </w:rPr>
        <w:tab/>
        <w:t>wenn der Gewinn durch Einnahmenüberschussrechnung (§ 4 Abs. 3 EStG) ermittelt werden kann, oder</w:t>
      </w:r>
    </w:p>
    <w:p w14:paraId="36252217" w14:textId="77777777" w:rsidR="0062207F" w:rsidRPr="0062207F" w:rsidRDefault="0062207F" w:rsidP="0019606D">
      <w:pPr>
        <w:spacing w:after="60"/>
        <w:ind w:left="765" w:hanging="198"/>
        <w:rPr>
          <w:rStyle w:val="Standard1"/>
          <w:rFonts w:ascii="Minion Pro" w:hAnsi="Minion Pro"/>
        </w:rPr>
      </w:pPr>
      <w:r w:rsidRPr="0062207F">
        <w:rPr>
          <w:rStyle w:val="Standard1"/>
          <w:rFonts w:ascii="Minion Pro" w:hAnsi="Minion Pro"/>
        </w:rPr>
        <w:t>•</w:t>
      </w:r>
      <w:r w:rsidRPr="0062207F">
        <w:rPr>
          <w:rStyle w:val="Standard1"/>
          <w:rFonts w:ascii="Minion Pro" w:hAnsi="Minion Pro"/>
        </w:rPr>
        <w:tab/>
        <w:t>es sich um Umsätze eines Freiberuflers handelt, oder</w:t>
      </w:r>
    </w:p>
    <w:p w14:paraId="49999F27" w14:textId="77777777" w:rsidR="0062207F" w:rsidRPr="0062207F" w:rsidRDefault="0062207F" w:rsidP="0019606D">
      <w:pPr>
        <w:spacing w:after="60"/>
        <w:ind w:left="765" w:hanging="198"/>
        <w:rPr>
          <w:rStyle w:val="Standard1"/>
          <w:rFonts w:ascii="Minion Pro" w:hAnsi="Minion Pro"/>
        </w:rPr>
      </w:pPr>
      <w:r w:rsidRPr="0062207F">
        <w:rPr>
          <w:rStyle w:val="Standard1"/>
          <w:rFonts w:ascii="Minion Pro" w:hAnsi="Minion Pro"/>
        </w:rPr>
        <w:t>•</w:t>
      </w:r>
      <w:r w:rsidRPr="0062207F">
        <w:rPr>
          <w:rStyle w:val="Standard1"/>
          <w:rFonts w:ascii="Minion Pro" w:hAnsi="Minion Pro"/>
        </w:rPr>
        <w:tab/>
        <w:t xml:space="preserve">eine Umsatzgrenze nicht überschritten wird (vgl. § 20 UStG). Diese Umsatzgrenze ist jetzt ab 2020 von 500.000 Euro auf </w:t>
      </w:r>
      <w:r w:rsidRPr="0062207F">
        <w:rPr>
          <w:rStyle w:val="Standard1"/>
          <w:rFonts w:ascii="Minion Pro" w:hAnsi="Minion Pro"/>
          <w:b/>
        </w:rPr>
        <w:t>600.000 Euro</w:t>
      </w:r>
      <w:r>
        <w:rPr>
          <w:rStyle w:val="Standard1"/>
          <w:rFonts w:ascii="Minion Pro" w:hAnsi="Minion Pro"/>
        </w:rPr>
        <w:t xml:space="preserve"> angehoben worden.</w:t>
      </w:r>
      <w:r>
        <w:rPr>
          <w:rStyle w:val="Funotenzeichen"/>
        </w:rPr>
        <w:footnoteReference w:id="15"/>
      </w:r>
    </w:p>
    <w:p w14:paraId="257B69FF" w14:textId="77777777" w:rsidR="008A0EBE" w:rsidRPr="008A0EBE" w:rsidRDefault="0062207F" w:rsidP="0019606D">
      <w:pPr>
        <w:spacing w:after="60"/>
        <w:rPr>
          <w:rStyle w:val="Standard1"/>
          <w:rFonts w:ascii="Minion Pro" w:hAnsi="Minion Pro"/>
        </w:rPr>
      </w:pPr>
      <w:r w:rsidRPr="0062207F">
        <w:rPr>
          <w:rStyle w:val="Standard1"/>
          <w:rFonts w:ascii="Minion Pro" w:hAnsi="Minion Pro"/>
        </w:rPr>
        <w:t>Die Besteuerung nach vereinnahmten Entgelten ist beim Finanzamt zu beantragen. Dieser Antrag gilt min</w:t>
      </w:r>
      <w:r w:rsidR="00694D1D">
        <w:rPr>
          <w:rStyle w:val="Standard1"/>
          <w:rFonts w:ascii="Minion Pro" w:hAnsi="Minion Pro"/>
        </w:rPr>
        <w:softHyphen/>
      </w:r>
      <w:r w:rsidRPr="0062207F">
        <w:rPr>
          <w:rStyle w:val="Standard1"/>
          <w:rFonts w:ascii="Minion Pro" w:hAnsi="Minion Pro"/>
        </w:rPr>
        <w:t>destens für ein Kalenderjahr und kann ggf. auch noch rückwirkend mit Wirkung ab Beginn des Jahres 2020 gestellt werden.</w:t>
      </w:r>
    </w:p>
    <w:p w14:paraId="0A9E126A" w14:textId="77777777" w:rsidR="006D6C03" w:rsidRDefault="00E51350" w:rsidP="0019606D">
      <w:pPr>
        <w:pStyle w:val="berschrift1"/>
        <w:tabs>
          <w:tab w:val="left" w:pos="4253"/>
          <w:tab w:val="left" w:pos="7850"/>
        </w:tabs>
        <w:spacing w:before="400"/>
      </w:pPr>
      <w:r>
        <w:rPr>
          <w:noProof/>
          <w:sz w:val="20"/>
        </w:rPr>
        <mc:AlternateContent>
          <mc:Choice Requires="wps">
            <w:drawing>
              <wp:anchor distT="0" distB="0" distL="114300" distR="114300" simplePos="0" relativeHeight="251661312" behindDoc="1" locked="0" layoutInCell="1" allowOverlap="1" wp14:anchorId="00398BEA" wp14:editId="3AB93672">
                <wp:simplePos x="0" y="0"/>
                <wp:positionH relativeFrom="page">
                  <wp:posOffset>622935</wp:posOffset>
                </wp:positionH>
                <wp:positionV relativeFrom="paragraph">
                  <wp:posOffset>208915</wp:posOffset>
                </wp:positionV>
                <wp:extent cx="6120000" cy="180000"/>
                <wp:effectExtent l="0" t="0" r="0" b="0"/>
                <wp:wrapNone/>
                <wp:docPr id="9"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18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284661" w14:textId="77777777" w:rsidR="00E11384" w:rsidRDefault="00E11384">
                            <w:pPr>
                              <w:rPr>
                                <w:color w:val="9999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98BEA" id="Text Box 340" o:spid="_x0000_s1034" type="#_x0000_t202" style="position:absolute;left:0;text-align:left;margin-left:49.05pt;margin-top:16.45pt;width:481.9pt;height:1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" fillcolor="silver" stroked="f">
                <v:textbox>
                  <w:txbxContent>
                    <w:p w14:paraId="46284661" w14:textId="77777777" w:rsidR="00E11384" w:rsidRDefault="00E11384">
                      <w:pPr>
                        <w:rPr>
                          <w:color w:val="999999"/>
                        </w:rPr>
                      </w:pPr>
                    </w:p>
                  </w:txbxContent>
                </v:textbox>
                <w10:wrap anchorx="page"/>
              </v:shape>
            </w:pict>
          </mc:Fallback>
        </mc:AlternateContent>
      </w:r>
      <w:r w:rsidR="006D6C03">
        <w:rPr>
          <w:rStyle w:val="Ueber1Zahl"/>
        </w:rPr>
        <w:tab/>
      </w:r>
      <w:r w:rsidR="00224FB5">
        <w:rPr>
          <w:rStyle w:val="Ueber1Zahl"/>
        </w:rPr>
        <w:t>5</w:t>
      </w:r>
      <w:r w:rsidR="006D6C03">
        <w:tab/>
      </w:r>
      <w:r w:rsidR="00694D1D" w:rsidRPr="00694D1D">
        <w:t>Grundsteuer-Erlass  wegen  Ertragsminderung</w:t>
      </w:r>
    </w:p>
    <w:p w14:paraId="6D351784" w14:textId="77777777" w:rsidR="00694D1D" w:rsidRDefault="00694D1D" w:rsidP="0019606D">
      <w:pPr>
        <w:spacing w:after="60"/>
      </w:pPr>
      <w:r>
        <w:t>Ein Grundsteuer-Erlass wegen einer Ertragsminderung bei bebauten Grundstücken kommt nicht nur bei außergewöhnlichen und vorübergehenden Umständen in Betracht, sondern z. B. auch bei schwacher Miet</w:t>
      </w:r>
      <w:r>
        <w:softHyphen/>
        <w:t>nachfrage bzw. Unvermietbarkeit der Immobilie aufgrund der allgemeinen schwierigen Wirtschaftslage.</w:t>
      </w:r>
    </w:p>
    <w:p w14:paraId="28D406D6" w14:textId="0A9D1A58" w:rsidR="00694D1D" w:rsidRDefault="00F93635" w:rsidP="00694D1D">
      <w:pPr>
        <w:spacing w:after="100"/>
      </w:pPr>
      <w:r>
        <w:rPr>
          <w:noProof/>
        </w:rPr>
        <mc:AlternateContent>
          <mc:Choice Requires="wps">
            <w:drawing>
              <wp:anchor distT="0" distB="0" distL="114300" distR="114300" simplePos="0" relativeHeight="251688960" behindDoc="0" locked="0" layoutInCell="1" allowOverlap="1" wp14:anchorId="6E6A9438" wp14:editId="09C52AA6">
                <wp:simplePos x="0" y="0"/>
                <wp:positionH relativeFrom="page">
                  <wp:posOffset>3813810</wp:posOffset>
                </wp:positionH>
                <wp:positionV relativeFrom="paragraph">
                  <wp:posOffset>327025</wp:posOffset>
                </wp:positionV>
                <wp:extent cx="0" cy="674370"/>
                <wp:effectExtent l="0" t="0" r="19050" b="11430"/>
                <wp:wrapNone/>
                <wp:docPr id="28" name="Gerade Verbindung mit Pfeil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4370"/>
                        </a:xfrm>
                        <a:prstGeom prst="straightConnector1">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7569BF" id="_x0000_t32" coordsize="21600,21600" o:spt="32" o:oned="t" path="m,l21600,21600e" filled="f">
                <v:path arrowok="t" fillok="f" o:connecttype="none"/>
                <o:lock v:ext="edit" shapetype="t"/>
              </v:shapetype>
              <v:shape id="Gerade Verbindung mit Pfeil 28" o:spid="_x0000_s1026" type="#_x0000_t32" style="position:absolute;margin-left:300.3pt;margin-top:25.75pt;width:0;height:53.1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" strokecolor="white" strokeweight="1pt">
                <w10:wrap anchorx="page"/>
              </v:shape>
            </w:pict>
          </mc:Fallback>
        </mc:AlternateContent>
      </w:r>
      <w:r w:rsidR="00694D1D">
        <w:t xml:space="preserve">Der Grundsteuer-Erlass ist abhängig von der Minderung des Rohertrags (bei Mietwohngrundstücken die </w:t>
      </w:r>
      <w:r w:rsidR="00694D1D" w:rsidRPr="00694D1D">
        <w:rPr>
          <w:b/>
        </w:rPr>
        <w:t>Jahresrohmiete</w:t>
      </w:r>
      <w:r w:rsidR="00694D1D">
        <w:t>) und kann erst ab einer Ertragsminderung von über 50 % beantragt werden:</w:t>
      </w:r>
      <w:r w:rsidR="00694D1D">
        <w:rPr>
          <w:rStyle w:val="Funotenzeichen"/>
        </w:rPr>
        <w:footnoteReference w:id="16"/>
      </w:r>
    </w:p>
    <w:p w14:paraId="6916F829" w14:textId="77777777" w:rsidR="00694D1D" w:rsidRPr="000B290E" w:rsidRDefault="00694D1D" w:rsidP="00694D1D">
      <w:pPr>
        <w:pStyle w:val="Beispiel"/>
        <w:tabs>
          <w:tab w:val="center" w:pos="2835"/>
          <w:tab w:val="center" w:pos="7371"/>
        </w:tabs>
        <w:spacing w:before="200" w:after="80" w:line="190" w:lineRule="exact"/>
        <w:rPr>
          <w:b/>
          <w:szCs w:val="17"/>
        </w:rPr>
      </w:pPr>
      <w:r>
        <w:rPr>
          <w:b/>
          <w:noProof/>
        </w:rPr>
        <mc:AlternateContent>
          <mc:Choice Requires="wps">
            <w:drawing>
              <wp:anchor distT="0" distB="0" distL="114300" distR="114300" simplePos="0" relativeHeight="251685888" behindDoc="1" locked="0" layoutInCell="1" allowOverlap="1" wp14:anchorId="6C01D0FC" wp14:editId="1CBB339C">
                <wp:simplePos x="0" y="0"/>
                <wp:positionH relativeFrom="page">
                  <wp:posOffset>935665</wp:posOffset>
                </wp:positionH>
                <wp:positionV relativeFrom="paragraph">
                  <wp:posOffset>5848</wp:posOffset>
                </wp:positionV>
                <wp:extent cx="5760085" cy="616688"/>
                <wp:effectExtent l="0" t="0" r="0" b="0"/>
                <wp:wrapNone/>
                <wp:docPr id="18" name="Textfeld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61668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9A1716" w14:textId="77777777" w:rsidR="00694D1D" w:rsidRDefault="00694D1D" w:rsidP="00694D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1D0FC" id="Textfeld 18" o:spid="_x0000_s1035" type="#_x0000_t202" style="position:absolute;left:0;text-align:left;margin-left:73.65pt;margin-top:.45pt;width:453.55pt;height:48.5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" fillcolor="silver" stroked="f">
                <v:textbox>
                  <w:txbxContent>
                    <w:p w14:paraId="109A1716" w14:textId="77777777" w:rsidR="00694D1D" w:rsidRDefault="00694D1D" w:rsidP="00694D1D"/>
                  </w:txbxContent>
                </v:textbox>
                <w10:wrap anchorx="page"/>
              </v:shape>
            </w:pict>
          </mc:Fallback>
        </mc:AlternateContent>
      </w:r>
      <w:r>
        <w:rPr>
          <w:noProof/>
          <w:szCs w:val="17"/>
        </w:rPr>
        <mc:AlternateContent>
          <mc:Choice Requires="wps">
            <w:drawing>
              <wp:anchor distT="0" distB="0" distL="114300" distR="114300" simplePos="0" relativeHeight="251686912" behindDoc="0" locked="0" layoutInCell="1" allowOverlap="1" wp14:anchorId="54B7960D" wp14:editId="22045B46">
                <wp:simplePos x="0" y="0"/>
                <wp:positionH relativeFrom="column">
                  <wp:posOffset>314325</wp:posOffset>
                </wp:positionH>
                <wp:positionV relativeFrom="paragraph">
                  <wp:posOffset>229870</wp:posOffset>
                </wp:positionV>
                <wp:extent cx="5847715" cy="0"/>
                <wp:effectExtent l="0" t="0" r="19685" b="19050"/>
                <wp:wrapNone/>
                <wp:docPr id="26" name="Gerade Verbindung mit Pfeil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715" cy="0"/>
                        </a:xfrm>
                        <a:prstGeom prst="straightConnector1">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C5BD06" id="Gerade Verbindung mit Pfeil 26" o:spid="_x0000_s1026" type="#_x0000_t32" style="position:absolute;margin-left:24.75pt;margin-top:18.1pt;width:460.4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" strokecolor="white" strokeweight="1pt"/>
            </w:pict>
          </mc:Fallback>
        </mc:AlternateContent>
      </w:r>
      <w:r w:rsidRPr="00763170">
        <w:rPr>
          <w:b/>
        </w:rPr>
        <w:tab/>
      </w:r>
      <w:r w:rsidRPr="000B290E">
        <w:rPr>
          <w:b/>
          <w:szCs w:val="17"/>
        </w:rPr>
        <w:t>Minderung des Rohertrags</w:t>
      </w:r>
      <w:r w:rsidRPr="000B290E">
        <w:rPr>
          <w:b/>
          <w:szCs w:val="17"/>
        </w:rPr>
        <w:tab/>
        <w:t>Grundsteuer-Erlass</w:t>
      </w:r>
    </w:p>
    <w:p w14:paraId="313B347B" w14:textId="77777777" w:rsidR="00694D1D" w:rsidRPr="000B290E" w:rsidRDefault="00694D1D" w:rsidP="00694D1D">
      <w:pPr>
        <w:pStyle w:val="Beispiel"/>
        <w:tabs>
          <w:tab w:val="right" w:pos="3799"/>
          <w:tab w:val="center" w:pos="7371"/>
        </w:tabs>
        <w:spacing w:before="200" w:after="40" w:line="190" w:lineRule="exact"/>
        <w:rPr>
          <w:szCs w:val="17"/>
        </w:rPr>
      </w:pPr>
      <w:r w:rsidRPr="000B290E">
        <w:rPr>
          <w:szCs w:val="17"/>
        </w:rPr>
        <w:tab/>
        <w:t>um</w:t>
      </w:r>
      <w:r>
        <w:rPr>
          <w:szCs w:val="17"/>
        </w:rPr>
        <w:t xml:space="preserve"> </w:t>
      </w:r>
      <w:r w:rsidRPr="000B290E">
        <w:rPr>
          <w:szCs w:val="17"/>
        </w:rPr>
        <w:t xml:space="preserve">mehr als </w:t>
      </w:r>
      <w:r w:rsidRPr="000B290E">
        <w:rPr>
          <w:b/>
          <w:szCs w:val="17"/>
        </w:rPr>
        <w:t>50 % bis 99 %</w:t>
      </w:r>
      <w:r w:rsidRPr="000B290E">
        <w:rPr>
          <w:szCs w:val="17"/>
        </w:rPr>
        <w:tab/>
      </w:r>
      <w:r w:rsidRPr="000B290E">
        <w:rPr>
          <w:b/>
          <w:szCs w:val="17"/>
        </w:rPr>
        <w:t>25 %</w:t>
      </w:r>
    </w:p>
    <w:p w14:paraId="475928A0" w14:textId="77777777" w:rsidR="00694D1D" w:rsidRPr="000B290E" w:rsidRDefault="00694D1D" w:rsidP="00694D1D">
      <w:pPr>
        <w:pStyle w:val="Beispiel"/>
        <w:tabs>
          <w:tab w:val="right" w:pos="3799"/>
          <w:tab w:val="center" w:pos="7371"/>
        </w:tabs>
        <w:spacing w:after="80" w:line="190" w:lineRule="exact"/>
        <w:rPr>
          <w:szCs w:val="17"/>
        </w:rPr>
      </w:pPr>
      <w:r w:rsidRPr="000B290E">
        <w:rPr>
          <w:szCs w:val="17"/>
        </w:rPr>
        <w:tab/>
        <w:t xml:space="preserve">um </w:t>
      </w:r>
      <w:r w:rsidRPr="000B290E">
        <w:rPr>
          <w:b/>
          <w:szCs w:val="17"/>
        </w:rPr>
        <w:t>100 %</w:t>
      </w:r>
      <w:r w:rsidRPr="000B290E">
        <w:rPr>
          <w:szCs w:val="17"/>
        </w:rPr>
        <w:tab/>
      </w:r>
      <w:r w:rsidRPr="000B290E">
        <w:rPr>
          <w:b/>
          <w:szCs w:val="17"/>
        </w:rPr>
        <w:t>50 %</w:t>
      </w:r>
    </w:p>
    <w:p w14:paraId="42786914" w14:textId="77777777" w:rsidR="00694D1D" w:rsidRDefault="00694D1D" w:rsidP="0019606D">
      <w:pPr>
        <w:spacing w:before="160" w:after="60"/>
      </w:pPr>
      <w:r>
        <w:t xml:space="preserve">Ein Grundsteuer-Erlass kommt nur in Betracht, wenn der Vermieter die Minderung des Ertrags nicht zu vertreten hat. Bei einer </w:t>
      </w:r>
      <w:r w:rsidRPr="00694D1D">
        <w:rPr>
          <w:b/>
        </w:rPr>
        <w:t>leer stehenden</w:t>
      </w:r>
      <w:r>
        <w:t xml:space="preserve"> Wohnung muss der Vermieter nachweisen, dass er sich nachhaltig und ernsthaft um eine Vermietung zu einem marktgerechten Mietzins bemüht hat.</w:t>
      </w:r>
    </w:p>
    <w:p w14:paraId="2063EDC6" w14:textId="77777777" w:rsidR="00694D1D" w:rsidRDefault="00F93635" w:rsidP="0019606D">
      <w:pPr>
        <w:spacing w:after="60"/>
      </w:pPr>
      <w:r>
        <w:rPr>
          <w:noProof/>
        </w:rPr>
        <w:drawing>
          <wp:anchor distT="0" distB="0" distL="114300" distR="114300" simplePos="0" relativeHeight="251689984" behindDoc="1" locked="0" layoutInCell="1" allowOverlap="1" wp14:anchorId="1C2E4B26" wp14:editId="3705A58E">
            <wp:simplePos x="0" y="0"/>
            <wp:positionH relativeFrom="page">
              <wp:posOffset>6840855</wp:posOffset>
            </wp:positionH>
            <wp:positionV relativeFrom="paragraph">
              <wp:posOffset>626745</wp:posOffset>
            </wp:positionV>
            <wp:extent cx="388800" cy="331200"/>
            <wp:effectExtent l="0" t="0" r="0" b="0"/>
            <wp:wrapTight wrapText="bothSides">
              <wp:wrapPolygon edited="0">
                <wp:start x="0" y="0"/>
                <wp:lineTo x="0" y="19900"/>
                <wp:lineTo x="20118" y="19900"/>
                <wp:lineTo x="20118" y="0"/>
                <wp:lineTo x="0" y="0"/>
              </wp:wrapPolygon>
            </wp:wrapTight>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lender_03_2020.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8800" cy="331200"/>
                    </a:xfrm>
                    <a:prstGeom prst="rect">
                      <a:avLst/>
                    </a:prstGeom>
                  </pic:spPr>
                </pic:pic>
              </a:graphicData>
            </a:graphic>
            <wp14:sizeRelH relativeFrom="margin">
              <wp14:pctWidth>0</wp14:pctWidth>
            </wp14:sizeRelH>
            <wp14:sizeRelV relativeFrom="margin">
              <wp14:pctHeight>0</wp14:pctHeight>
            </wp14:sizeRelV>
          </wp:anchor>
        </w:drawing>
      </w:r>
      <w:r w:rsidR="00694D1D">
        <w:t xml:space="preserve">Hierfür ist es notwendig, dass der Grundstückseigentümer versucht haben muss, den Kreis der möglichen </w:t>
      </w:r>
      <w:r w:rsidR="00694D1D" w:rsidRPr="00694D1D">
        <w:rPr>
          <w:spacing w:val="-2"/>
        </w:rPr>
        <w:t xml:space="preserve">Interessenten möglichst umfassend zu erreichen. Angesichts der weitreichenden Nutzung des </w:t>
      </w:r>
      <w:r w:rsidR="00694D1D" w:rsidRPr="00694D1D">
        <w:rPr>
          <w:b/>
          <w:spacing w:val="-2"/>
        </w:rPr>
        <w:t>Internets</w:t>
      </w:r>
      <w:r w:rsidR="00694D1D" w:rsidRPr="00694D1D">
        <w:rPr>
          <w:spacing w:val="-2"/>
        </w:rPr>
        <w:t xml:space="preserve"> ist es</w:t>
      </w:r>
      <w:r w:rsidR="00694D1D">
        <w:t xml:space="preserve"> </w:t>
      </w:r>
      <w:r w:rsidR="00694D1D" w:rsidRPr="00694D1D">
        <w:rPr>
          <w:spacing w:val="-4"/>
        </w:rPr>
        <w:t>im Regelfall erforderlich, dass eine Bewerbung leer stehender Immobilien über dieses Medium – und zwar auch</w:t>
      </w:r>
      <w:r w:rsidR="00694D1D">
        <w:t xml:space="preserve"> </w:t>
      </w:r>
      <w:r w:rsidR="00694D1D" w:rsidRPr="00694D1D">
        <w:rPr>
          <w:spacing w:val="-4"/>
        </w:rPr>
        <w:t xml:space="preserve">in den einschlägigen </w:t>
      </w:r>
      <w:r w:rsidR="00694D1D" w:rsidRPr="00694D1D">
        <w:rPr>
          <w:b/>
          <w:spacing w:val="-4"/>
        </w:rPr>
        <w:t>Suchportalen</w:t>
      </w:r>
      <w:r w:rsidR="00694D1D" w:rsidRPr="00694D1D">
        <w:rPr>
          <w:spacing w:val="-4"/>
        </w:rPr>
        <w:t xml:space="preserve"> – erfolgt. </w:t>
      </w:r>
      <w:r w:rsidR="00694D1D" w:rsidRPr="00694D1D">
        <w:rPr>
          <w:b/>
          <w:spacing w:val="-4"/>
        </w:rPr>
        <w:t>Nicht</w:t>
      </w:r>
      <w:r w:rsidR="00694D1D" w:rsidRPr="00694D1D">
        <w:rPr>
          <w:spacing w:val="-4"/>
        </w:rPr>
        <w:t xml:space="preserve"> ausreichend ist dagegen das Anbieten z.</w:t>
      </w:r>
      <w:r w:rsidR="00694D1D">
        <w:rPr>
          <w:spacing w:val="-4"/>
        </w:rPr>
        <w:t> </w:t>
      </w:r>
      <w:r w:rsidR="00694D1D" w:rsidRPr="00694D1D">
        <w:rPr>
          <w:spacing w:val="-4"/>
        </w:rPr>
        <w:t>B. lediglich auf der</w:t>
      </w:r>
      <w:r w:rsidR="00694D1D">
        <w:t xml:space="preserve"> Homepage des beauftragten Maklers.</w:t>
      </w:r>
      <w:r w:rsidR="00694D1D">
        <w:rPr>
          <w:rStyle w:val="Funotenzeichen"/>
        </w:rPr>
        <w:footnoteReference w:id="17"/>
      </w:r>
    </w:p>
    <w:p w14:paraId="34A57FAD" w14:textId="77777777" w:rsidR="00221861" w:rsidRPr="00F25EB2" w:rsidRDefault="00694D1D" w:rsidP="0019606D">
      <w:pPr>
        <w:spacing w:after="60"/>
      </w:pPr>
      <w:r>
        <w:t xml:space="preserve">Der </w:t>
      </w:r>
      <w:r w:rsidRPr="00694D1D">
        <w:rPr>
          <w:b/>
        </w:rPr>
        <w:t>Antrag</w:t>
      </w:r>
      <w:r>
        <w:t xml:space="preserve"> auf Erlass der Grundsteuer für das Jahr 2019 ist bis zum </w:t>
      </w:r>
      <w:r w:rsidRPr="00694D1D">
        <w:rPr>
          <w:b/>
        </w:rPr>
        <w:t>31.03.2020</w:t>
      </w:r>
      <w:r>
        <w:t xml:space="preserve"> zu stellen; die Frist kann grundsätzlich nicht verlängert werden (vgl. Abschn. 41 GrStR).</w:t>
      </w:r>
    </w:p>
    <w:p w14:paraId="4C1FD2E8" w14:textId="77777777" w:rsidR="00221861" w:rsidRDefault="00221861" w:rsidP="0019606D">
      <w:pPr>
        <w:pStyle w:val="berschrift1"/>
        <w:spacing w:before="400"/>
      </w:pPr>
      <w:r>
        <w:rPr>
          <w:noProof/>
          <w:sz w:val="20"/>
        </w:rPr>
        <mc:AlternateContent>
          <mc:Choice Requires="wps">
            <w:drawing>
              <wp:anchor distT="0" distB="0" distL="114300" distR="114300" simplePos="0" relativeHeight="251668480" behindDoc="1" locked="0" layoutInCell="1" allowOverlap="0" wp14:anchorId="6EAD0DA1" wp14:editId="7FF0B98B">
                <wp:simplePos x="0" y="0"/>
                <wp:positionH relativeFrom="page">
                  <wp:posOffset>622935</wp:posOffset>
                </wp:positionH>
                <wp:positionV relativeFrom="paragraph">
                  <wp:posOffset>208915</wp:posOffset>
                </wp:positionV>
                <wp:extent cx="6120000" cy="180000"/>
                <wp:effectExtent l="0" t="0" r="0" b="0"/>
                <wp:wrapNone/>
                <wp:docPr id="1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18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18BBD" w14:textId="77777777" w:rsidR="00221861" w:rsidRDefault="00221861" w:rsidP="00221861">
                            <w:pPr>
                              <w:rPr>
                                <w:color w:val="9999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D0DA1" id="_x0000_s1036" type="#_x0000_t202" style="position:absolute;left:0;text-align:left;margin-left:49.05pt;margin-top:16.45pt;width:481.9pt;height:14.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" o:allowoverlap="f" fillcolor="silver" stroked="f">
                <v:textbox>
                  <w:txbxContent>
                    <w:p w14:paraId="46718BBD" w14:textId="77777777" w:rsidR="00221861" w:rsidRDefault="00221861" w:rsidP="00221861">
                      <w:pPr>
                        <w:rPr>
                          <w:color w:val="999999"/>
                        </w:rPr>
                      </w:pPr>
                    </w:p>
                  </w:txbxContent>
                </v:textbox>
                <w10:wrap anchorx="page"/>
              </v:shape>
            </w:pict>
          </mc:Fallback>
        </mc:AlternateContent>
      </w:r>
      <w:r>
        <w:tab/>
      </w:r>
      <w:r>
        <w:rPr>
          <w:rStyle w:val="Ueber1Zahl"/>
        </w:rPr>
        <w:t>6</w:t>
      </w:r>
      <w:r>
        <w:tab/>
      </w:r>
      <w:r w:rsidR="00F93635" w:rsidRPr="00F93635">
        <w:t>Vorsteuerabzug  bei  Bahntickets</w:t>
      </w:r>
    </w:p>
    <w:p w14:paraId="7BEAFDEC" w14:textId="77777777" w:rsidR="00F93635" w:rsidRPr="00F93635" w:rsidRDefault="00F93635" w:rsidP="0019606D">
      <w:pPr>
        <w:spacing w:after="60"/>
        <w:rPr>
          <w:rStyle w:val="Standard1"/>
          <w:rFonts w:ascii="Minion Pro" w:hAnsi="Minion Pro"/>
        </w:rPr>
      </w:pPr>
      <w:r w:rsidRPr="00F93635">
        <w:rPr>
          <w:rStyle w:val="Standard1"/>
          <w:rFonts w:ascii="Minion Pro" w:hAnsi="Minion Pro"/>
        </w:rPr>
        <w:t>Durch das Gesetz zur Umsetzung des Klimaschut</w:t>
      </w:r>
      <w:r>
        <w:rPr>
          <w:rStyle w:val="Standard1"/>
          <w:rFonts w:ascii="Minion Pro" w:hAnsi="Minion Pro"/>
        </w:rPr>
        <w:t>zprogramms 2030 im Steuerrecht</w:t>
      </w:r>
      <w:r>
        <w:rPr>
          <w:rStyle w:val="Funotenzeichen"/>
        </w:rPr>
        <w:footnoteReference w:id="18"/>
      </w:r>
      <w:r w:rsidR="0019606D">
        <w:rPr>
          <w:rStyle w:val="Standard1"/>
          <w:rFonts w:ascii="Minion Pro" w:hAnsi="Minion Pro"/>
        </w:rPr>
        <w:t xml:space="preserve"> wurde der Umsatz</w:t>
      </w:r>
      <w:r w:rsidR="0019606D">
        <w:rPr>
          <w:rStyle w:val="Standard1"/>
          <w:rFonts w:ascii="Minion Pro" w:hAnsi="Minion Pro"/>
        </w:rPr>
        <w:softHyphen/>
      </w:r>
      <w:r w:rsidRPr="00F93635">
        <w:rPr>
          <w:rStyle w:val="Standard1"/>
          <w:rFonts w:ascii="Minion Pro" w:hAnsi="Minion Pro"/>
        </w:rPr>
        <w:t>steuersatz für Bahnfernreisen (über 50 km) ab dem 01.01.2020 auf den scho</w:t>
      </w:r>
      <w:r w:rsidR="0019606D">
        <w:rPr>
          <w:rStyle w:val="Standard1"/>
          <w:rFonts w:ascii="Minion Pro" w:hAnsi="Minion Pro"/>
        </w:rPr>
        <w:t xml:space="preserve">n für den Nahverkehr geltenden </w:t>
      </w:r>
      <w:r w:rsidRPr="0019606D">
        <w:rPr>
          <w:rStyle w:val="Standard1"/>
          <w:rFonts w:ascii="Minion Pro" w:hAnsi="Minion Pro"/>
          <w:spacing w:val="-2"/>
        </w:rPr>
        <w:t>Steuersatz in Höhe von 7</w:t>
      </w:r>
      <w:r w:rsidR="0019606D">
        <w:rPr>
          <w:rStyle w:val="Standard1"/>
          <w:rFonts w:ascii="Minion Pro" w:hAnsi="Minion Pro"/>
          <w:spacing w:val="-2"/>
        </w:rPr>
        <w:t> </w:t>
      </w:r>
      <w:r w:rsidRPr="0019606D">
        <w:rPr>
          <w:rStyle w:val="Standard1"/>
          <w:rFonts w:ascii="Minion Pro" w:hAnsi="Minion Pro"/>
          <w:spacing w:val="-2"/>
        </w:rPr>
        <w:t>% gesenkt. Die Finanzverwaltung hat nun zu den dabei entstehenden Umstellungs</w:t>
      </w:r>
      <w:r w:rsidR="0019606D" w:rsidRPr="0019606D">
        <w:rPr>
          <w:rStyle w:val="Standard1"/>
          <w:rFonts w:ascii="Minion Pro" w:hAnsi="Minion Pro"/>
          <w:spacing w:val="-2"/>
        </w:rPr>
        <w:softHyphen/>
      </w:r>
      <w:r w:rsidRPr="0019606D">
        <w:rPr>
          <w:rStyle w:val="Standard1"/>
          <w:rFonts w:ascii="Minion Pro" w:hAnsi="Minion Pro"/>
          <w:spacing w:val="-2"/>
        </w:rPr>
        <w:t>problemen</w:t>
      </w:r>
      <w:r>
        <w:rPr>
          <w:rStyle w:val="Standard1"/>
          <w:rFonts w:ascii="Minion Pro" w:hAnsi="Minion Pro"/>
        </w:rPr>
        <w:t xml:space="preserve"> Stellung genommen.</w:t>
      </w:r>
      <w:r>
        <w:rPr>
          <w:rStyle w:val="Funotenzeichen"/>
        </w:rPr>
        <w:footnoteReference w:id="19"/>
      </w:r>
    </w:p>
    <w:p w14:paraId="011C394E" w14:textId="77777777" w:rsidR="00F93635" w:rsidRPr="00F93635" w:rsidRDefault="00F93635" w:rsidP="0019606D">
      <w:pPr>
        <w:spacing w:after="60"/>
        <w:rPr>
          <w:rStyle w:val="Standard1"/>
          <w:rFonts w:ascii="Minion Pro" w:hAnsi="Minion Pro"/>
        </w:rPr>
      </w:pPr>
      <w:r w:rsidRPr="00F93635">
        <w:rPr>
          <w:rStyle w:val="Standard1"/>
          <w:rFonts w:ascii="Minion Pro" w:hAnsi="Minion Pro"/>
        </w:rPr>
        <w:t xml:space="preserve">Bei </w:t>
      </w:r>
      <w:r w:rsidRPr="00F93635">
        <w:rPr>
          <w:rStyle w:val="Standard1"/>
          <w:rFonts w:ascii="Minion Pro" w:hAnsi="Minion Pro"/>
          <w:b/>
        </w:rPr>
        <w:t>bis</w:t>
      </w:r>
      <w:r w:rsidRPr="00F93635">
        <w:rPr>
          <w:rStyle w:val="Standard1"/>
          <w:rFonts w:ascii="Minion Pro" w:hAnsi="Minion Pro"/>
        </w:rPr>
        <w:t xml:space="preserve"> zum </w:t>
      </w:r>
      <w:r w:rsidRPr="00F93635">
        <w:rPr>
          <w:rStyle w:val="Standard1"/>
          <w:rFonts w:ascii="Minion Pro" w:hAnsi="Minion Pro"/>
          <w:b/>
        </w:rPr>
        <w:t>31.12.2019</w:t>
      </w:r>
      <w:r w:rsidRPr="00F93635">
        <w:rPr>
          <w:rStyle w:val="Standard1"/>
          <w:rFonts w:ascii="Minion Pro" w:hAnsi="Minion Pro"/>
        </w:rPr>
        <w:t xml:space="preserve"> gültigen Bahntickets wurde der Umsatzsteuersatz von 19</w:t>
      </w:r>
      <w:r w:rsidR="0019606D">
        <w:rPr>
          <w:rStyle w:val="Standard1"/>
          <w:rFonts w:ascii="Minion Pro" w:hAnsi="Minion Pro"/>
        </w:rPr>
        <w:t> </w:t>
      </w:r>
      <w:r w:rsidRPr="00F93635">
        <w:rPr>
          <w:rStyle w:val="Standard1"/>
          <w:rFonts w:ascii="Minion Pro" w:hAnsi="Minion Pro"/>
        </w:rPr>
        <w:t>% (bei mehr als 50 km) bzw. die Tarifentfernung ausgewiesen, sodass ein entsprechender Vorsteuerabzug möglich war.</w:t>
      </w:r>
    </w:p>
    <w:p w14:paraId="32CF0E79" w14:textId="77777777" w:rsidR="00F93635" w:rsidRPr="00F93635" w:rsidRDefault="00F93635" w:rsidP="0019606D">
      <w:pPr>
        <w:spacing w:after="60"/>
        <w:rPr>
          <w:rStyle w:val="Standard1"/>
          <w:rFonts w:ascii="Minion Pro" w:hAnsi="Minion Pro"/>
        </w:rPr>
      </w:pPr>
      <w:r w:rsidRPr="0019606D">
        <w:rPr>
          <w:rStyle w:val="Standard1"/>
          <w:rFonts w:ascii="Minion Pro" w:hAnsi="Minion Pro"/>
          <w:spacing w:val="-3"/>
        </w:rPr>
        <w:t xml:space="preserve">Bei </w:t>
      </w:r>
      <w:r w:rsidRPr="0019606D">
        <w:rPr>
          <w:rStyle w:val="Standard1"/>
          <w:rFonts w:ascii="Minion Pro" w:hAnsi="Minion Pro"/>
          <w:b/>
          <w:spacing w:val="-3"/>
        </w:rPr>
        <w:t>ab</w:t>
      </w:r>
      <w:r w:rsidRPr="0019606D">
        <w:rPr>
          <w:rStyle w:val="Standard1"/>
          <w:rFonts w:ascii="Minion Pro" w:hAnsi="Minion Pro"/>
          <w:spacing w:val="-3"/>
        </w:rPr>
        <w:t xml:space="preserve"> dem </w:t>
      </w:r>
      <w:r w:rsidRPr="0019606D">
        <w:rPr>
          <w:rStyle w:val="Standard1"/>
          <w:rFonts w:ascii="Minion Pro" w:hAnsi="Minion Pro"/>
          <w:b/>
          <w:spacing w:val="-3"/>
        </w:rPr>
        <w:t>01.01.2020</w:t>
      </w:r>
      <w:r w:rsidRPr="0019606D">
        <w:rPr>
          <w:rStyle w:val="Standard1"/>
          <w:rFonts w:ascii="Minion Pro" w:hAnsi="Minion Pro"/>
          <w:spacing w:val="-3"/>
        </w:rPr>
        <w:t xml:space="preserve"> gültigen Bahntickets ist der ermäßigte Steuersatz von 7</w:t>
      </w:r>
      <w:r w:rsidR="0019606D">
        <w:rPr>
          <w:rStyle w:val="Standard1"/>
          <w:rFonts w:ascii="Minion Pro" w:hAnsi="Minion Pro"/>
          <w:spacing w:val="-3"/>
        </w:rPr>
        <w:t> </w:t>
      </w:r>
      <w:r w:rsidRPr="0019606D">
        <w:rPr>
          <w:rStyle w:val="Standard1"/>
          <w:rFonts w:ascii="Minion Pro" w:hAnsi="Minion Pro"/>
          <w:spacing w:val="-3"/>
        </w:rPr>
        <w:t>% anzuwenden. Dieser Steuer</w:t>
      </w:r>
      <w:r w:rsidR="0019606D" w:rsidRPr="0019606D">
        <w:rPr>
          <w:rStyle w:val="Standard1"/>
          <w:rFonts w:ascii="Minion Pro" w:hAnsi="Minion Pro"/>
          <w:spacing w:val="-3"/>
        </w:rPr>
        <w:softHyphen/>
      </w:r>
      <w:r w:rsidRPr="0019606D">
        <w:rPr>
          <w:rStyle w:val="Standard1"/>
          <w:rFonts w:ascii="Minion Pro" w:hAnsi="Minion Pro"/>
          <w:spacing w:val="-3"/>
        </w:rPr>
        <w:t>satz</w:t>
      </w:r>
      <w:r w:rsidRPr="00F93635">
        <w:rPr>
          <w:rStyle w:val="Standard1"/>
          <w:rFonts w:ascii="Minion Pro" w:hAnsi="Minion Pro"/>
        </w:rPr>
        <w:t xml:space="preserve"> muss nicht gesondert angegeben werden; der Vorsteuerabzug ist trotzdem möglich.</w:t>
      </w:r>
    </w:p>
    <w:p w14:paraId="4C6B0715" w14:textId="48084C87" w:rsidR="00221861" w:rsidRPr="00F25EB2" w:rsidRDefault="00F93635" w:rsidP="002B678F">
      <w:pPr>
        <w:spacing w:after="70"/>
      </w:pPr>
      <w:r w:rsidRPr="00F93635">
        <w:rPr>
          <w:rStyle w:val="Standard1"/>
          <w:rFonts w:ascii="Minion Pro" w:hAnsi="Minion Pro"/>
        </w:rPr>
        <w:lastRenderedPageBreak/>
        <w:t xml:space="preserve">Bei über den 31.12.2019 hinaus geltenden Tickets, die 2019 ausgestellt und bezahlt wurden, bleibt es aus </w:t>
      </w:r>
      <w:r w:rsidRPr="0019606D">
        <w:rPr>
          <w:rStyle w:val="Standard1"/>
          <w:rFonts w:ascii="Minion Pro" w:hAnsi="Minion Pro"/>
          <w:b/>
        </w:rPr>
        <w:t>Praktikabilitätsgründen</w:t>
      </w:r>
      <w:r w:rsidRPr="00F93635">
        <w:rPr>
          <w:rStyle w:val="Standard1"/>
          <w:rFonts w:ascii="Minion Pro" w:hAnsi="Minion Pro"/>
        </w:rPr>
        <w:t xml:space="preserve"> bei 19</w:t>
      </w:r>
      <w:r w:rsidR="0019606D">
        <w:rPr>
          <w:rStyle w:val="Standard1"/>
          <w:rFonts w:ascii="Minion Pro" w:hAnsi="Minion Pro"/>
        </w:rPr>
        <w:t> </w:t>
      </w:r>
      <w:r w:rsidRPr="00F93635">
        <w:rPr>
          <w:rStyle w:val="Standard1"/>
          <w:rFonts w:ascii="Minion Pro" w:hAnsi="Minion Pro"/>
        </w:rPr>
        <w:t>% Umsatzsteuer; das Bahnunternehmen braucht die Rechnung nicht zu berichtigen und der Kunde behäl</w:t>
      </w:r>
      <w:r w:rsidR="0019606D">
        <w:rPr>
          <w:rStyle w:val="Standard1"/>
          <w:rFonts w:ascii="Minion Pro" w:hAnsi="Minion Pro"/>
        </w:rPr>
        <w:t>t den Vorsteuerabzug von 19 %.</w:t>
      </w:r>
      <w:r w:rsidR="0019606D">
        <w:rPr>
          <w:rStyle w:val="Funotenzeichen"/>
        </w:rPr>
        <w:footnoteReference w:id="20"/>
      </w:r>
    </w:p>
    <w:p w14:paraId="40FB8EC7" w14:textId="77777777" w:rsidR="00221861" w:rsidRDefault="00221861" w:rsidP="00E0132A">
      <w:pPr>
        <w:pStyle w:val="berschrift1"/>
        <w:spacing w:before="560"/>
      </w:pPr>
      <w:r>
        <w:rPr>
          <w:noProof/>
          <w:sz w:val="20"/>
        </w:rPr>
        <mc:AlternateContent>
          <mc:Choice Requires="wps">
            <w:drawing>
              <wp:anchor distT="0" distB="0" distL="114300" distR="114300" simplePos="0" relativeHeight="251670528" behindDoc="1" locked="0" layoutInCell="1" allowOverlap="0" wp14:anchorId="510B049A" wp14:editId="2EBC7292">
                <wp:simplePos x="0" y="0"/>
                <wp:positionH relativeFrom="page">
                  <wp:posOffset>622935</wp:posOffset>
                </wp:positionH>
                <wp:positionV relativeFrom="paragraph">
                  <wp:posOffset>302260</wp:posOffset>
                </wp:positionV>
                <wp:extent cx="6120000" cy="180000"/>
                <wp:effectExtent l="0" t="0" r="0" b="0"/>
                <wp:wrapNone/>
                <wp:docPr id="12"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18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0C2590" w14:textId="77777777" w:rsidR="00221861" w:rsidRDefault="00221861" w:rsidP="00221861">
                            <w:pPr>
                              <w:rPr>
                                <w:color w:val="9999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B049A" id="_x0000_s1037" type="#_x0000_t202" style="position:absolute;left:0;text-align:left;margin-left:49.05pt;margin-top:23.8pt;width:481.9pt;height:14.1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" o:allowoverlap="f" fillcolor="silver" stroked="f">
                <v:textbox>
                  <w:txbxContent>
                    <w:p w14:paraId="6C0C2590" w14:textId="77777777" w:rsidR="00221861" w:rsidRDefault="00221861" w:rsidP="00221861">
                      <w:pPr>
                        <w:rPr>
                          <w:color w:val="999999"/>
                        </w:rPr>
                      </w:pPr>
                    </w:p>
                  </w:txbxContent>
                </v:textbox>
                <w10:wrap anchorx="page"/>
              </v:shape>
            </w:pict>
          </mc:Fallback>
        </mc:AlternateContent>
      </w:r>
      <w:r>
        <w:tab/>
      </w:r>
      <w:r>
        <w:rPr>
          <w:rStyle w:val="Ueber1Zahl"/>
        </w:rPr>
        <w:t>7</w:t>
      </w:r>
      <w:r>
        <w:tab/>
      </w:r>
      <w:proofErr w:type="gramStart"/>
      <w:r w:rsidR="0019606D" w:rsidRPr="0019606D">
        <w:t>Vernichtung  von</w:t>
      </w:r>
      <w:proofErr w:type="gramEnd"/>
      <w:r w:rsidR="0019606D" w:rsidRPr="0019606D">
        <w:t xml:space="preserve">  Buchhaltungsunterlagen</w:t>
      </w:r>
    </w:p>
    <w:p w14:paraId="0DA137DF" w14:textId="77777777" w:rsidR="0019606D" w:rsidRPr="0019606D" w:rsidRDefault="0019606D" w:rsidP="002B678F">
      <w:pPr>
        <w:spacing w:after="70" w:line="233" w:lineRule="exact"/>
        <w:rPr>
          <w:rStyle w:val="Standard1"/>
          <w:rFonts w:ascii="Minion Pro" w:hAnsi="Minion Pro"/>
        </w:rPr>
      </w:pPr>
      <w:r w:rsidRPr="0019606D">
        <w:rPr>
          <w:rStyle w:val="Standard1"/>
          <w:rFonts w:ascii="Minion Pro" w:hAnsi="Minion Pro"/>
        </w:rPr>
        <w:t xml:space="preserve">Für </w:t>
      </w:r>
      <w:r w:rsidRPr="0019606D">
        <w:rPr>
          <w:rStyle w:val="Standard1"/>
          <w:rFonts w:ascii="Minion Pro" w:hAnsi="Minion Pro"/>
          <w:b/>
        </w:rPr>
        <w:t>Buchhaltungsunterlagen</w:t>
      </w:r>
      <w:r w:rsidRPr="0019606D">
        <w:rPr>
          <w:rStyle w:val="Standard1"/>
          <w:rFonts w:ascii="Minion Pro" w:hAnsi="Minion Pro"/>
        </w:rPr>
        <w:t xml:space="preserve"> gelten bestimmte Aufbewahrungsfristen (vgl. § 147 Abgabenordnung). Im </w:t>
      </w:r>
      <w:r w:rsidRPr="00E0132A">
        <w:rPr>
          <w:rStyle w:val="Standard1"/>
          <w:rFonts w:ascii="Minion Pro" w:hAnsi="Minion Pro"/>
          <w:spacing w:val="-2"/>
        </w:rPr>
        <w:t>Jahresabschluss kann ggf. für die zukünftigen Kosten der Aufbewahrung dieser Unterlagen eine Rückstellung</w:t>
      </w:r>
      <w:r>
        <w:rPr>
          <w:rStyle w:val="Standard1"/>
          <w:rFonts w:ascii="Minion Pro" w:hAnsi="Minion Pro"/>
        </w:rPr>
        <w:t xml:space="preserve"> gebildet werden.</w:t>
      </w:r>
      <w:r>
        <w:rPr>
          <w:rStyle w:val="Funotenzeichen"/>
        </w:rPr>
        <w:footnoteReference w:id="21"/>
      </w:r>
    </w:p>
    <w:p w14:paraId="7CE915BD" w14:textId="77777777" w:rsidR="0019606D" w:rsidRPr="0019606D" w:rsidRDefault="0019606D" w:rsidP="002B678F">
      <w:pPr>
        <w:spacing w:after="70" w:line="233" w:lineRule="exact"/>
        <w:rPr>
          <w:rStyle w:val="Standard1"/>
          <w:rFonts w:ascii="Minion Pro" w:hAnsi="Minion Pro"/>
        </w:rPr>
      </w:pPr>
      <w:r w:rsidRPr="0019606D">
        <w:rPr>
          <w:rStyle w:val="Standard1"/>
          <w:rFonts w:ascii="Minion Pro" w:hAnsi="Minion Pro"/>
        </w:rPr>
        <w:t xml:space="preserve">Mit Ablauf der gesetzlichen Fristen können </w:t>
      </w:r>
      <w:r w:rsidRPr="00E0132A">
        <w:rPr>
          <w:rStyle w:val="Standard1"/>
          <w:rFonts w:ascii="Minion Pro" w:hAnsi="Minion Pro"/>
          <w:b/>
        </w:rPr>
        <w:t>nach dem 31.12.2019</w:t>
      </w:r>
      <w:r w:rsidRPr="0019606D">
        <w:rPr>
          <w:rStyle w:val="Standard1"/>
          <w:rFonts w:ascii="Minion Pro" w:hAnsi="Minion Pro"/>
        </w:rPr>
        <w:t xml:space="preserve"> insbesondere folgende Unterlagen </w:t>
      </w:r>
      <w:r w:rsidRPr="00E0132A">
        <w:rPr>
          <w:rStyle w:val="Standard1"/>
          <w:rFonts w:ascii="Minion Pro" w:hAnsi="Minion Pro"/>
          <w:b/>
        </w:rPr>
        <w:t>ver</w:t>
      </w:r>
      <w:r w:rsidR="00E0132A">
        <w:rPr>
          <w:rStyle w:val="Standard1"/>
          <w:rFonts w:ascii="Minion Pro" w:hAnsi="Minion Pro"/>
          <w:b/>
        </w:rPr>
        <w:softHyphen/>
      </w:r>
      <w:r w:rsidRPr="00E0132A">
        <w:rPr>
          <w:rStyle w:val="Standard1"/>
          <w:rFonts w:ascii="Minion Pro" w:hAnsi="Minion Pro"/>
          <w:b/>
        </w:rPr>
        <w:t>nichtet</w:t>
      </w:r>
      <w:r w:rsidRPr="0019606D">
        <w:rPr>
          <w:rStyle w:val="Standard1"/>
          <w:rFonts w:ascii="Minion Pro" w:hAnsi="Minion Pro"/>
        </w:rPr>
        <w:t xml:space="preserve"> werden:</w:t>
      </w:r>
    </w:p>
    <w:p w14:paraId="14F3E88D" w14:textId="77777777" w:rsidR="0019606D" w:rsidRPr="00E0132A" w:rsidRDefault="0019606D" w:rsidP="002B678F">
      <w:pPr>
        <w:spacing w:before="200" w:after="70" w:line="233" w:lineRule="exact"/>
        <w:rPr>
          <w:rStyle w:val="Standard1"/>
          <w:rFonts w:ascii="Minion Pro" w:hAnsi="Minion Pro"/>
          <w:b/>
        </w:rPr>
      </w:pPr>
      <w:r w:rsidRPr="00E0132A">
        <w:rPr>
          <w:rStyle w:val="Standard1"/>
          <w:rFonts w:ascii="Minion Pro" w:hAnsi="Minion Pro"/>
          <w:b/>
        </w:rPr>
        <w:t>10-jährige Aufbewahrungsfrist:</w:t>
      </w:r>
    </w:p>
    <w:p w14:paraId="6C2D2A7C" w14:textId="77777777" w:rsidR="0019606D" w:rsidRPr="00E0132A" w:rsidRDefault="0019606D" w:rsidP="002B678F">
      <w:pPr>
        <w:pStyle w:val="Listenabsatz"/>
        <w:numPr>
          <w:ilvl w:val="0"/>
          <w:numId w:val="1"/>
        </w:numPr>
        <w:spacing w:after="70" w:line="233" w:lineRule="exact"/>
        <w:ind w:left="765" w:hanging="198"/>
        <w:contextualSpacing w:val="0"/>
        <w:rPr>
          <w:rStyle w:val="Standard1"/>
          <w:rFonts w:ascii="Minion Pro" w:hAnsi="Minion Pro"/>
        </w:rPr>
      </w:pPr>
      <w:r w:rsidRPr="00E0132A">
        <w:rPr>
          <w:rStyle w:val="Standard1"/>
          <w:rFonts w:ascii="Minion Pro" w:hAnsi="Minion Pro"/>
        </w:rPr>
        <w:t xml:space="preserve">Bücher, Journale, Konten usw., in denen die </w:t>
      </w:r>
      <w:r w:rsidRPr="00E0132A">
        <w:rPr>
          <w:rStyle w:val="Standard1"/>
          <w:rFonts w:ascii="Minion Pro" w:hAnsi="Minion Pro"/>
          <w:b/>
        </w:rPr>
        <w:t>letzte Eintragung 2009</w:t>
      </w:r>
      <w:r w:rsidRPr="00E0132A">
        <w:rPr>
          <w:rStyle w:val="Standard1"/>
          <w:rFonts w:ascii="Minion Pro" w:hAnsi="Minion Pro"/>
        </w:rPr>
        <w:t xml:space="preserve"> und früher erfolgt ist</w:t>
      </w:r>
    </w:p>
    <w:p w14:paraId="1BC3B8E8" w14:textId="77777777" w:rsidR="0019606D" w:rsidRPr="00E0132A" w:rsidRDefault="0019606D" w:rsidP="002B678F">
      <w:pPr>
        <w:pStyle w:val="Listenabsatz"/>
        <w:numPr>
          <w:ilvl w:val="0"/>
          <w:numId w:val="1"/>
        </w:numPr>
        <w:spacing w:after="70" w:line="233" w:lineRule="exact"/>
        <w:ind w:left="765" w:hanging="198"/>
        <w:contextualSpacing w:val="0"/>
        <w:rPr>
          <w:rStyle w:val="Standard1"/>
          <w:rFonts w:ascii="Minion Pro" w:hAnsi="Minion Pro"/>
        </w:rPr>
      </w:pPr>
      <w:r w:rsidRPr="00E0132A">
        <w:rPr>
          <w:rStyle w:val="Standard1"/>
          <w:rFonts w:ascii="Minion Pro" w:hAnsi="Minion Pro"/>
          <w:b/>
        </w:rPr>
        <w:t>Jahresabschlüsse</w:t>
      </w:r>
      <w:r w:rsidRPr="00E0132A">
        <w:rPr>
          <w:rStyle w:val="Standard1"/>
          <w:rFonts w:ascii="Minion Pro" w:hAnsi="Minion Pro"/>
        </w:rPr>
        <w:t>, Lageberichte, Eröffnungsbilanzen und Inventare, di</w:t>
      </w:r>
      <w:r w:rsidR="00E0132A">
        <w:rPr>
          <w:rStyle w:val="Standard1"/>
          <w:rFonts w:ascii="Minion Pro" w:hAnsi="Minion Pro"/>
        </w:rPr>
        <w:t xml:space="preserve">e </w:t>
      </w:r>
      <w:r w:rsidR="00E0132A" w:rsidRPr="00E0132A">
        <w:rPr>
          <w:rStyle w:val="Standard1"/>
          <w:rFonts w:ascii="Minion Pro" w:hAnsi="Minion Pro"/>
          <w:b/>
        </w:rPr>
        <w:t>2009</w:t>
      </w:r>
      <w:r w:rsidR="00E0132A">
        <w:rPr>
          <w:rStyle w:val="Standard1"/>
          <w:rFonts w:ascii="Minion Pro" w:hAnsi="Minion Pro"/>
        </w:rPr>
        <w:t xml:space="preserve"> oder früher </w:t>
      </w:r>
      <w:r w:rsidR="00E0132A" w:rsidRPr="00E0132A">
        <w:rPr>
          <w:rStyle w:val="Standard1"/>
          <w:rFonts w:ascii="Minion Pro" w:hAnsi="Minion Pro"/>
          <w:b/>
        </w:rPr>
        <w:t>aufgestellt</w:t>
      </w:r>
      <w:r w:rsidR="00E0132A">
        <w:rPr>
          <w:rStyle w:val="Standard1"/>
          <w:rFonts w:ascii="Minion Pro" w:hAnsi="Minion Pro"/>
        </w:rPr>
        <w:t xml:space="preserve"> </w:t>
      </w:r>
      <w:r w:rsidRPr="00E0132A">
        <w:rPr>
          <w:rStyle w:val="Standard1"/>
          <w:rFonts w:ascii="Minion Pro" w:hAnsi="Minion Pro"/>
        </w:rPr>
        <w:t>wurden, sowie die zu ihrem Verständnis erforderlichen Unterlagen</w:t>
      </w:r>
    </w:p>
    <w:p w14:paraId="3E995873" w14:textId="77777777" w:rsidR="0019606D" w:rsidRPr="00E0132A" w:rsidRDefault="0019606D" w:rsidP="002B678F">
      <w:pPr>
        <w:pStyle w:val="Listenabsatz"/>
        <w:numPr>
          <w:ilvl w:val="0"/>
          <w:numId w:val="1"/>
        </w:numPr>
        <w:spacing w:after="70" w:line="233" w:lineRule="exact"/>
        <w:ind w:left="765" w:hanging="198"/>
        <w:contextualSpacing w:val="0"/>
        <w:rPr>
          <w:rStyle w:val="Standard1"/>
          <w:rFonts w:ascii="Minion Pro" w:hAnsi="Minion Pro"/>
        </w:rPr>
      </w:pPr>
      <w:r w:rsidRPr="00E0132A">
        <w:rPr>
          <w:rStyle w:val="Standard1"/>
          <w:rFonts w:ascii="Minion Pro" w:hAnsi="Minion Pro"/>
          <w:b/>
        </w:rPr>
        <w:t>Buchungsbelege</w:t>
      </w:r>
      <w:r w:rsidRPr="00E0132A">
        <w:rPr>
          <w:rStyle w:val="Standard1"/>
          <w:rFonts w:ascii="Minion Pro" w:hAnsi="Minion Pro"/>
        </w:rPr>
        <w:t xml:space="preserve"> (z.</w:t>
      </w:r>
      <w:r w:rsidR="00E0132A">
        <w:rPr>
          <w:rStyle w:val="Standard1"/>
          <w:rFonts w:ascii="Minion Pro" w:hAnsi="Minion Pro"/>
        </w:rPr>
        <w:t> </w:t>
      </w:r>
      <w:r w:rsidRPr="00E0132A">
        <w:rPr>
          <w:rStyle w:val="Standard1"/>
          <w:rFonts w:ascii="Minion Pro" w:hAnsi="Minion Pro"/>
        </w:rPr>
        <w:t>B. Rechnungen, Bescheide, Zahlungsanweisungen, Kontoauszüge,</w:t>
      </w:r>
      <w:r>
        <w:rPr>
          <w:rStyle w:val="Funotenzeichen"/>
        </w:rPr>
        <w:footnoteReference w:id="22"/>
      </w:r>
      <w:r w:rsidR="00E0132A">
        <w:rPr>
          <w:rStyle w:val="Standard1"/>
          <w:rFonts w:ascii="Minion Pro" w:hAnsi="Minion Pro"/>
        </w:rPr>
        <w:t xml:space="preserve"> Lohn- bzw. </w:t>
      </w:r>
      <w:r w:rsidRPr="00E0132A">
        <w:rPr>
          <w:rStyle w:val="Standard1"/>
          <w:rFonts w:ascii="Minion Pro" w:hAnsi="Minion Pro"/>
        </w:rPr>
        <w:t xml:space="preserve">Gehaltslisten, Reisekostenabrechnungen, Bewirtungsbelege) aus dem Jahr </w:t>
      </w:r>
      <w:r w:rsidRPr="00E0132A">
        <w:rPr>
          <w:rStyle w:val="Standard1"/>
          <w:rFonts w:ascii="Minion Pro" w:hAnsi="Minion Pro"/>
          <w:b/>
        </w:rPr>
        <w:t>2009</w:t>
      </w:r>
    </w:p>
    <w:p w14:paraId="1BE30826" w14:textId="77777777" w:rsidR="0019606D" w:rsidRPr="00E0132A" w:rsidRDefault="0019606D" w:rsidP="002B678F">
      <w:pPr>
        <w:spacing w:before="200" w:after="70" w:line="233" w:lineRule="exact"/>
        <w:rPr>
          <w:rStyle w:val="Standard1"/>
          <w:rFonts w:ascii="Minion Pro" w:hAnsi="Minion Pro"/>
          <w:b/>
        </w:rPr>
      </w:pPr>
      <w:r w:rsidRPr="00E0132A">
        <w:rPr>
          <w:rStyle w:val="Standard1"/>
          <w:rFonts w:ascii="Minion Pro" w:hAnsi="Minion Pro"/>
          <w:b/>
        </w:rPr>
        <w:t>6-jährige Aufbewahrungsfrist:</w:t>
      </w:r>
    </w:p>
    <w:p w14:paraId="6FBC6182" w14:textId="77777777" w:rsidR="0019606D" w:rsidRPr="00E0132A" w:rsidRDefault="0019606D" w:rsidP="002B678F">
      <w:pPr>
        <w:pStyle w:val="Listenabsatz"/>
        <w:numPr>
          <w:ilvl w:val="0"/>
          <w:numId w:val="1"/>
        </w:numPr>
        <w:spacing w:after="70" w:line="233" w:lineRule="exact"/>
        <w:ind w:left="765" w:hanging="198"/>
        <w:contextualSpacing w:val="0"/>
        <w:rPr>
          <w:rStyle w:val="Standard1"/>
          <w:rFonts w:ascii="Minion Pro" w:hAnsi="Minion Pro"/>
        </w:rPr>
      </w:pPr>
      <w:r w:rsidRPr="00E0132A">
        <w:rPr>
          <w:rStyle w:val="Standard1"/>
          <w:rFonts w:ascii="Minion Pro" w:hAnsi="Minion Pro"/>
          <w:b/>
        </w:rPr>
        <w:t>Lohnkonten</w:t>
      </w:r>
      <w:r w:rsidRPr="00E0132A">
        <w:rPr>
          <w:rStyle w:val="Standard1"/>
          <w:rFonts w:ascii="Minion Pro" w:hAnsi="Minion Pro"/>
        </w:rPr>
        <w:t xml:space="preserve"> und Unterlagen (Bescheinigungen) zum Lohnkonto mit Eintragungen aus </w:t>
      </w:r>
      <w:r w:rsidRPr="00E0132A">
        <w:rPr>
          <w:rStyle w:val="Standard1"/>
          <w:rFonts w:ascii="Minion Pro" w:hAnsi="Minion Pro"/>
          <w:b/>
        </w:rPr>
        <w:t>2013</w:t>
      </w:r>
      <w:r w:rsidRPr="00E0132A">
        <w:rPr>
          <w:rStyle w:val="Standard1"/>
          <w:rFonts w:ascii="Minion Pro" w:hAnsi="Minion Pro"/>
        </w:rPr>
        <w:t xml:space="preserve"> oder früher</w:t>
      </w:r>
      <w:r>
        <w:rPr>
          <w:rStyle w:val="Funotenzeichen"/>
        </w:rPr>
        <w:footnoteReference w:id="23"/>
      </w:r>
    </w:p>
    <w:p w14:paraId="28F5B1E9" w14:textId="77777777" w:rsidR="0019606D" w:rsidRPr="00E0132A" w:rsidRDefault="0019606D" w:rsidP="002B678F">
      <w:pPr>
        <w:pStyle w:val="Listenabsatz"/>
        <w:numPr>
          <w:ilvl w:val="0"/>
          <w:numId w:val="1"/>
        </w:numPr>
        <w:spacing w:after="70" w:line="233" w:lineRule="exact"/>
        <w:ind w:left="765" w:hanging="198"/>
        <w:contextualSpacing w:val="0"/>
        <w:rPr>
          <w:rStyle w:val="Standard1"/>
          <w:rFonts w:ascii="Minion Pro" w:hAnsi="Minion Pro"/>
        </w:rPr>
      </w:pPr>
      <w:r w:rsidRPr="00E0132A">
        <w:rPr>
          <w:rStyle w:val="Standard1"/>
          <w:rFonts w:ascii="Minion Pro" w:hAnsi="Minion Pro"/>
          <w:b/>
        </w:rPr>
        <w:t>Sonstige</w:t>
      </w:r>
      <w:r w:rsidRPr="00E0132A">
        <w:rPr>
          <w:rStyle w:val="Standard1"/>
          <w:rFonts w:ascii="Minion Pro" w:hAnsi="Minion Pro"/>
        </w:rPr>
        <w:t xml:space="preserve"> Dokumente (z.</w:t>
      </w:r>
      <w:r w:rsidR="00E0132A">
        <w:rPr>
          <w:rStyle w:val="Standard1"/>
          <w:rFonts w:ascii="Minion Pro" w:hAnsi="Minion Pro"/>
        </w:rPr>
        <w:t> </w:t>
      </w:r>
      <w:r w:rsidRPr="00E0132A">
        <w:rPr>
          <w:rStyle w:val="Standard1"/>
          <w:rFonts w:ascii="Minion Pro" w:hAnsi="Minion Pro"/>
        </w:rPr>
        <w:t xml:space="preserve">B. Ausfuhr- bzw. Einfuhrunterlagen, Auftragsbücher, Frachtbriefe, abgelaufene Darlehensverträge, Versicherungspolicen) sowie Geschäftsbriefe aus dem Jahr </w:t>
      </w:r>
      <w:r w:rsidRPr="00E0132A">
        <w:rPr>
          <w:rStyle w:val="Standard1"/>
          <w:rFonts w:ascii="Minion Pro" w:hAnsi="Minion Pro"/>
          <w:b/>
        </w:rPr>
        <w:t>2013</w:t>
      </w:r>
      <w:r w:rsidRPr="00E0132A">
        <w:rPr>
          <w:rStyle w:val="Standard1"/>
          <w:rFonts w:ascii="Minion Pro" w:hAnsi="Minion Pro"/>
        </w:rPr>
        <w:t xml:space="preserve"> oder früher</w:t>
      </w:r>
    </w:p>
    <w:p w14:paraId="74B710E2" w14:textId="77777777" w:rsidR="0019606D" w:rsidRPr="0019606D" w:rsidRDefault="0019606D" w:rsidP="002B678F">
      <w:pPr>
        <w:spacing w:before="200" w:after="70" w:line="233" w:lineRule="exact"/>
        <w:rPr>
          <w:rStyle w:val="Standard1"/>
          <w:rFonts w:ascii="Minion Pro" w:hAnsi="Minion Pro"/>
        </w:rPr>
      </w:pPr>
      <w:r w:rsidRPr="00E0132A">
        <w:rPr>
          <w:rStyle w:val="Standard1"/>
          <w:rFonts w:ascii="Minion Pro" w:hAnsi="Minion Pro"/>
          <w:spacing w:val="-2"/>
        </w:rPr>
        <w:t xml:space="preserve">Aufzubewahren sind </w:t>
      </w:r>
      <w:r w:rsidRPr="00E0132A">
        <w:rPr>
          <w:rStyle w:val="Standard1"/>
          <w:rFonts w:ascii="Minion Pro" w:hAnsi="Minion Pro"/>
          <w:b/>
          <w:spacing w:val="-2"/>
        </w:rPr>
        <w:t>alle</w:t>
      </w:r>
      <w:r w:rsidRPr="00E0132A">
        <w:rPr>
          <w:rStyle w:val="Standard1"/>
          <w:rFonts w:ascii="Minion Pro" w:hAnsi="Minion Pro"/>
          <w:spacing w:val="-2"/>
        </w:rPr>
        <w:t xml:space="preserve"> Unterlagen, die zum </w:t>
      </w:r>
      <w:r w:rsidRPr="00E0132A">
        <w:rPr>
          <w:rStyle w:val="Standard1"/>
          <w:rFonts w:ascii="Minion Pro" w:hAnsi="Minion Pro"/>
          <w:b/>
          <w:spacing w:val="-2"/>
        </w:rPr>
        <w:t>Verständnis</w:t>
      </w:r>
      <w:r w:rsidRPr="00E0132A">
        <w:rPr>
          <w:rStyle w:val="Standard1"/>
          <w:rFonts w:ascii="Minion Pro" w:hAnsi="Minion Pro"/>
          <w:spacing w:val="-2"/>
        </w:rPr>
        <w:t xml:space="preserve"> und zur </w:t>
      </w:r>
      <w:r w:rsidRPr="00E0132A">
        <w:rPr>
          <w:rStyle w:val="Standard1"/>
          <w:rFonts w:ascii="Minion Pro" w:hAnsi="Minion Pro"/>
          <w:b/>
          <w:spacing w:val="-2"/>
        </w:rPr>
        <w:t>Überprüfung</w:t>
      </w:r>
      <w:r w:rsidRPr="00E0132A">
        <w:rPr>
          <w:rStyle w:val="Standard1"/>
          <w:rFonts w:ascii="Minion Pro" w:hAnsi="Minion Pro"/>
          <w:spacing w:val="-2"/>
        </w:rPr>
        <w:t xml:space="preserve"> der Aufzeichnungspflich</w:t>
      </w:r>
      <w:r w:rsidR="00E0132A" w:rsidRPr="00E0132A">
        <w:rPr>
          <w:rStyle w:val="Standard1"/>
          <w:rFonts w:ascii="Minion Pro" w:hAnsi="Minion Pro"/>
          <w:spacing w:val="-2"/>
        </w:rPr>
        <w:softHyphen/>
      </w:r>
      <w:r w:rsidRPr="00E0132A">
        <w:rPr>
          <w:rStyle w:val="Standard1"/>
          <w:rFonts w:ascii="Minion Pro" w:hAnsi="Minion Pro"/>
          <w:spacing w:val="-2"/>
        </w:rPr>
        <w:t xml:space="preserve">ten von Bedeutung sind; dies gilt sowohl für Unterlagen in </w:t>
      </w:r>
      <w:r w:rsidRPr="00E0132A">
        <w:rPr>
          <w:rStyle w:val="Standard1"/>
          <w:rFonts w:ascii="Minion Pro" w:hAnsi="Minion Pro"/>
          <w:b/>
          <w:spacing w:val="-2"/>
        </w:rPr>
        <w:t>Papierform</w:t>
      </w:r>
      <w:r w:rsidRPr="00E0132A">
        <w:rPr>
          <w:rStyle w:val="Standard1"/>
          <w:rFonts w:ascii="Minion Pro" w:hAnsi="Minion Pro"/>
          <w:spacing w:val="-2"/>
        </w:rPr>
        <w:t xml:space="preserve"> als auch für alle Unterlagen in Form</w:t>
      </w:r>
      <w:r w:rsidRPr="0019606D">
        <w:rPr>
          <w:rStyle w:val="Standard1"/>
          <w:rFonts w:ascii="Minion Pro" w:hAnsi="Minion Pro"/>
        </w:rPr>
        <w:t xml:space="preserve"> von </w:t>
      </w:r>
      <w:r w:rsidRPr="00E0132A">
        <w:rPr>
          <w:rStyle w:val="Standard1"/>
          <w:rFonts w:ascii="Minion Pro" w:hAnsi="Minion Pro"/>
          <w:b/>
        </w:rPr>
        <w:t>Daten</w:t>
      </w:r>
      <w:r w:rsidRPr="0019606D">
        <w:rPr>
          <w:rStyle w:val="Standard1"/>
          <w:rFonts w:ascii="Minion Pro" w:hAnsi="Minion Pro"/>
        </w:rPr>
        <w:t xml:space="preserve">, Datensätzen und </w:t>
      </w:r>
      <w:r w:rsidRPr="00E0132A">
        <w:rPr>
          <w:rStyle w:val="Standard1"/>
          <w:rFonts w:ascii="Minion Pro" w:hAnsi="Minion Pro"/>
          <w:b/>
        </w:rPr>
        <w:t>elektronischen</w:t>
      </w:r>
      <w:r w:rsidRPr="0019606D">
        <w:rPr>
          <w:rStyle w:val="Standard1"/>
          <w:rFonts w:ascii="Minion Pro" w:hAnsi="Minion Pro"/>
        </w:rPr>
        <w:t xml:space="preserve"> Dokumenten, aus denen hervorgeht, dass die Ordnungsvor</w:t>
      </w:r>
      <w:r w:rsidR="00E0132A">
        <w:rPr>
          <w:rStyle w:val="Standard1"/>
          <w:rFonts w:ascii="Minion Pro" w:hAnsi="Minion Pro"/>
        </w:rPr>
        <w:softHyphen/>
      </w:r>
      <w:r w:rsidRPr="0019606D">
        <w:rPr>
          <w:rStyle w:val="Standard1"/>
          <w:rFonts w:ascii="Minion Pro" w:hAnsi="Minion Pro"/>
        </w:rPr>
        <w:t>schriften und deren Einhaltung umgesetzt wurden.</w:t>
      </w:r>
    </w:p>
    <w:p w14:paraId="2E0F94C1" w14:textId="77777777" w:rsidR="0019606D" w:rsidRPr="0019606D" w:rsidRDefault="0019606D" w:rsidP="002B678F">
      <w:pPr>
        <w:spacing w:after="70" w:line="233" w:lineRule="exact"/>
        <w:rPr>
          <w:rStyle w:val="Standard1"/>
          <w:rFonts w:ascii="Minion Pro" w:hAnsi="Minion Pro"/>
        </w:rPr>
      </w:pPr>
      <w:r w:rsidRPr="00E0132A">
        <w:rPr>
          <w:rStyle w:val="Standard1"/>
          <w:rFonts w:ascii="Minion Pro" w:hAnsi="Minion Pro"/>
          <w:spacing w:val="-2"/>
        </w:rPr>
        <w:t>Eingehende elektronische Rechnungen, Handels- und Geschäftsbriefe oder sonstige bedeutsame Dokumente</w:t>
      </w:r>
      <w:r w:rsidRPr="0019606D">
        <w:rPr>
          <w:rStyle w:val="Standard1"/>
          <w:rFonts w:ascii="Minion Pro" w:hAnsi="Minion Pro"/>
        </w:rPr>
        <w:t xml:space="preserve"> sind in dem Format </w:t>
      </w:r>
      <w:r w:rsidRPr="00E0132A">
        <w:rPr>
          <w:rStyle w:val="Standard1"/>
          <w:rFonts w:ascii="Minion Pro" w:hAnsi="Minion Pro"/>
          <w:b/>
        </w:rPr>
        <w:t>unverändert</w:t>
      </w:r>
      <w:r w:rsidRPr="0019606D">
        <w:rPr>
          <w:rStyle w:val="Standard1"/>
          <w:rFonts w:ascii="Minion Pro" w:hAnsi="Minion Pro"/>
        </w:rPr>
        <w:t xml:space="preserve"> aufzubewahren, in dem sie empfangen </w:t>
      </w:r>
      <w:r>
        <w:rPr>
          <w:rStyle w:val="Standard1"/>
          <w:rFonts w:ascii="Minion Pro" w:hAnsi="Minion Pro"/>
        </w:rPr>
        <w:t>wurden (z.</w:t>
      </w:r>
      <w:r w:rsidR="00E0132A">
        <w:rPr>
          <w:rStyle w:val="Standard1"/>
          <w:rFonts w:ascii="Minion Pro" w:hAnsi="Minion Pro"/>
        </w:rPr>
        <w:t> </w:t>
      </w:r>
      <w:r>
        <w:rPr>
          <w:rStyle w:val="Standard1"/>
          <w:rFonts w:ascii="Minion Pro" w:hAnsi="Minion Pro"/>
        </w:rPr>
        <w:t xml:space="preserve">B. im </w:t>
      </w:r>
      <w:proofErr w:type="spellStart"/>
      <w:r>
        <w:rPr>
          <w:rStyle w:val="Standard1"/>
          <w:rFonts w:ascii="Minion Pro" w:hAnsi="Minion Pro"/>
        </w:rPr>
        <w:t>pdf</w:t>
      </w:r>
      <w:proofErr w:type="spellEnd"/>
      <w:r>
        <w:rPr>
          <w:rStyle w:val="Standard1"/>
          <w:rFonts w:ascii="Minion Pro" w:hAnsi="Minion Pro"/>
        </w:rPr>
        <w:t>- oder Bild</w:t>
      </w:r>
      <w:r w:rsidR="00E0132A">
        <w:rPr>
          <w:rStyle w:val="Standard1"/>
          <w:rFonts w:ascii="Minion Pro" w:hAnsi="Minion Pro"/>
        </w:rPr>
        <w:softHyphen/>
      </w:r>
      <w:r w:rsidRPr="0019606D">
        <w:rPr>
          <w:rStyle w:val="Standard1"/>
          <w:rFonts w:ascii="Minion Pro" w:hAnsi="Minion Pro"/>
        </w:rPr>
        <w:t>format); sie dürfen nicht vor Ablauf der Aufbewahrungspflicht gelöscht werden.</w:t>
      </w:r>
    </w:p>
    <w:p w14:paraId="26CA8442" w14:textId="77777777" w:rsidR="0019606D" w:rsidRPr="0019606D" w:rsidRDefault="0019606D" w:rsidP="002B678F">
      <w:pPr>
        <w:spacing w:after="70" w:line="233" w:lineRule="exact"/>
        <w:rPr>
          <w:rStyle w:val="Standard1"/>
          <w:rFonts w:ascii="Minion Pro" w:hAnsi="Minion Pro"/>
        </w:rPr>
      </w:pPr>
      <w:r w:rsidRPr="0019606D">
        <w:rPr>
          <w:rStyle w:val="Standard1"/>
          <w:rFonts w:ascii="Minion Pro" w:hAnsi="Minion Pro"/>
        </w:rPr>
        <w:t xml:space="preserve">Eine </w:t>
      </w:r>
      <w:r w:rsidRPr="00E0132A">
        <w:rPr>
          <w:rStyle w:val="Standard1"/>
          <w:rFonts w:ascii="Minion Pro" w:hAnsi="Minion Pro"/>
          <w:b/>
        </w:rPr>
        <w:t>Umwandlung</w:t>
      </w:r>
      <w:r w:rsidRPr="0019606D">
        <w:rPr>
          <w:rStyle w:val="Standard1"/>
          <w:rFonts w:ascii="Minion Pro" w:hAnsi="Minion Pro"/>
        </w:rPr>
        <w:t xml:space="preserve"> in ein anderes Format ist nur zulässig, wenn die maschinelle Auswertbarkeit (durch die Finanzverwaltung) nicht eingeschränkt wird und </w:t>
      </w:r>
      <w:r w:rsidRPr="00E0132A">
        <w:rPr>
          <w:rStyle w:val="Standard1"/>
          <w:rFonts w:ascii="Minion Pro" w:hAnsi="Minion Pro"/>
          <w:b/>
        </w:rPr>
        <w:t>keine</w:t>
      </w:r>
      <w:r w:rsidRPr="0019606D">
        <w:rPr>
          <w:rStyle w:val="Standard1"/>
          <w:rFonts w:ascii="Minion Pro" w:hAnsi="Minion Pro"/>
        </w:rPr>
        <w:t xml:space="preserve"> inhaltlichen Veränderungen vorgenommen werden. Entsprechendes gilt für selbst erzeugte Dokumente, wie z.</w:t>
      </w:r>
      <w:r w:rsidR="00E0132A">
        <w:rPr>
          <w:rStyle w:val="Standard1"/>
          <w:rFonts w:ascii="Minion Pro" w:hAnsi="Minion Pro"/>
        </w:rPr>
        <w:t> </w:t>
      </w:r>
      <w:r w:rsidRPr="0019606D">
        <w:rPr>
          <w:rStyle w:val="Standard1"/>
          <w:rFonts w:ascii="Minion Pro" w:hAnsi="Minion Pro"/>
        </w:rPr>
        <w:t>B. Ausgangsrechnungen.</w:t>
      </w:r>
    </w:p>
    <w:p w14:paraId="4240B124" w14:textId="77777777" w:rsidR="0019606D" w:rsidRPr="0019606D" w:rsidRDefault="0019606D" w:rsidP="002B678F">
      <w:pPr>
        <w:spacing w:after="70" w:line="233" w:lineRule="exact"/>
        <w:rPr>
          <w:rStyle w:val="Standard1"/>
          <w:rFonts w:ascii="Minion Pro" w:hAnsi="Minion Pro"/>
        </w:rPr>
      </w:pPr>
      <w:r w:rsidRPr="0019606D">
        <w:rPr>
          <w:rStyle w:val="Standard1"/>
          <w:rFonts w:ascii="Minion Pro" w:hAnsi="Minion Pro"/>
        </w:rPr>
        <w:t xml:space="preserve">Werden Papierdokumente in elektronische Dokumente umgewandelt </w:t>
      </w:r>
      <w:r w:rsidRPr="00E0132A">
        <w:rPr>
          <w:rStyle w:val="Standard1"/>
          <w:rFonts w:ascii="Minion Pro" w:hAnsi="Minion Pro"/>
          <w:b/>
        </w:rPr>
        <w:t>(„gescannt“)</w:t>
      </w:r>
      <w:r>
        <w:rPr>
          <w:rStyle w:val="Standard1"/>
          <w:rFonts w:ascii="Minion Pro" w:hAnsi="Minion Pro"/>
        </w:rPr>
        <w:t>, muss das Verfahren doku</w:t>
      </w:r>
      <w:r w:rsidRPr="0019606D">
        <w:rPr>
          <w:rStyle w:val="Standard1"/>
          <w:rFonts w:ascii="Minion Pro" w:hAnsi="Minion Pro"/>
        </w:rPr>
        <w:t>mentiert werden, durch das insbesondere die inhaltliche Übereinstimmung mit dem Original sowie die Lesbarkeit und Vollstän</w:t>
      </w:r>
      <w:r>
        <w:rPr>
          <w:rStyle w:val="Standard1"/>
          <w:rFonts w:ascii="Minion Pro" w:hAnsi="Minion Pro"/>
        </w:rPr>
        <w:t>digkeit sichergestellt werden.</w:t>
      </w:r>
      <w:r>
        <w:rPr>
          <w:rStyle w:val="Funotenzeichen"/>
        </w:rPr>
        <w:footnoteReference w:id="24"/>
      </w:r>
    </w:p>
    <w:p w14:paraId="46D891C3" w14:textId="016CB77B" w:rsidR="0019606D" w:rsidRPr="0019606D" w:rsidRDefault="0019606D" w:rsidP="002B678F">
      <w:pPr>
        <w:spacing w:after="70" w:line="233" w:lineRule="exact"/>
        <w:rPr>
          <w:rStyle w:val="Standard1"/>
          <w:rFonts w:ascii="Minion Pro" w:hAnsi="Minion Pro"/>
        </w:rPr>
      </w:pPr>
      <w:r w:rsidRPr="0019606D">
        <w:rPr>
          <w:rStyle w:val="Standard1"/>
          <w:rFonts w:ascii="Minion Pro" w:hAnsi="Minion Pro"/>
        </w:rPr>
        <w:t xml:space="preserve">Die Aufbewahrungsfristen gelten auch für die steuerlich und sozialversicherungsrechtlich relevanten Daten der </w:t>
      </w:r>
      <w:r w:rsidRPr="00E0132A">
        <w:rPr>
          <w:rStyle w:val="Standard1"/>
          <w:rFonts w:ascii="Minion Pro" w:hAnsi="Minion Pro"/>
          <w:b/>
        </w:rPr>
        <w:t>betrieblichen EDV</w:t>
      </w:r>
      <w:r w:rsidRPr="0019606D">
        <w:rPr>
          <w:rStyle w:val="Standard1"/>
          <w:rFonts w:ascii="Minion Pro" w:hAnsi="Minion Pro"/>
        </w:rPr>
        <w:t xml:space="preserve"> (Finanz-, Anlagen- und Loh</w:t>
      </w:r>
      <w:r>
        <w:rPr>
          <w:rStyle w:val="Standard1"/>
          <w:rFonts w:ascii="Minion Pro" w:hAnsi="Minion Pro"/>
        </w:rPr>
        <w:t>nbuchhaltung). Während des Auf</w:t>
      </w:r>
      <w:r w:rsidRPr="0019606D">
        <w:rPr>
          <w:rStyle w:val="Standard1"/>
          <w:rFonts w:ascii="Minion Pro" w:hAnsi="Minion Pro"/>
        </w:rPr>
        <w:t>bewahrungs</w:t>
      </w:r>
      <w:r w:rsidR="001945F7">
        <w:rPr>
          <w:rStyle w:val="Standard1"/>
          <w:rFonts w:ascii="Minion Pro" w:hAnsi="Minion Pro"/>
        </w:rPr>
        <w:softHyphen/>
      </w:r>
      <w:r w:rsidRPr="0019606D">
        <w:rPr>
          <w:rStyle w:val="Standard1"/>
          <w:rFonts w:ascii="Minion Pro" w:hAnsi="Minion Pro"/>
        </w:rPr>
        <w:t xml:space="preserve">zeitraums muss der </w:t>
      </w:r>
      <w:r w:rsidRPr="00E0132A">
        <w:rPr>
          <w:rStyle w:val="Standard1"/>
          <w:rFonts w:ascii="Minion Pro" w:hAnsi="Minion Pro"/>
          <w:b/>
        </w:rPr>
        <w:t>Zugriff</w:t>
      </w:r>
      <w:r>
        <w:rPr>
          <w:rStyle w:val="Standard1"/>
          <w:rFonts w:ascii="Minion Pro" w:hAnsi="Minion Pro"/>
        </w:rPr>
        <w:t xml:space="preserve"> auf diese Daten möglich sein.</w:t>
      </w:r>
      <w:r>
        <w:rPr>
          <w:rStyle w:val="Funotenzeichen"/>
        </w:rPr>
        <w:footnoteReference w:id="25"/>
      </w:r>
    </w:p>
    <w:p w14:paraId="7D5CBDF4" w14:textId="77777777" w:rsidR="0019606D" w:rsidRPr="0019606D" w:rsidRDefault="0019606D" w:rsidP="002B678F">
      <w:pPr>
        <w:spacing w:after="70" w:line="233" w:lineRule="exact"/>
        <w:rPr>
          <w:rStyle w:val="Standard1"/>
          <w:rFonts w:ascii="Minion Pro" w:hAnsi="Minion Pro"/>
        </w:rPr>
      </w:pPr>
      <w:r w:rsidRPr="0019606D">
        <w:rPr>
          <w:rStyle w:val="Standard1"/>
          <w:rFonts w:ascii="Minion Pro" w:hAnsi="Minion Pro"/>
        </w:rPr>
        <w:t xml:space="preserve">Die Aufbewahrungsfrist </w:t>
      </w:r>
      <w:r w:rsidRPr="00E0132A">
        <w:rPr>
          <w:rStyle w:val="Standard1"/>
          <w:rFonts w:ascii="Minion Pro" w:hAnsi="Minion Pro"/>
          <w:b/>
        </w:rPr>
        <w:t>beginnt</w:t>
      </w:r>
      <w:r w:rsidRPr="0019606D">
        <w:rPr>
          <w:rStyle w:val="Standard1"/>
          <w:rFonts w:ascii="Minion Pro" w:hAnsi="Minion Pro"/>
        </w:rPr>
        <w:t xml:space="preserve"> mit dem Schluss des Kalenderjahres, in dem die letzte Eintragung in das </w:t>
      </w:r>
      <w:r w:rsidRPr="00E0132A">
        <w:rPr>
          <w:rStyle w:val="Standard1"/>
          <w:rFonts w:ascii="Minion Pro" w:hAnsi="Minion Pro"/>
          <w:spacing w:val="-2"/>
        </w:rPr>
        <w:t>Buch gemacht, das Inventar, die Eröffnungsbilanz, der Jahresabschluss oder der Lagebericht aufgestellt, der</w:t>
      </w:r>
      <w:r w:rsidRPr="0019606D">
        <w:rPr>
          <w:rStyle w:val="Standard1"/>
          <w:rFonts w:ascii="Minion Pro" w:hAnsi="Minion Pro"/>
        </w:rPr>
        <w:t xml:space="preserve"> Handels- oder Geschäftsbrief empfangen oder abgesandt worden oder der Buchungsbeleg entstanden ist, ferner die Aufzeichnung vorgenommen worden ist oder die sonstigen Unterlagen entstanden sind.</w:t>
      </w:r>
    </w:p>
    <w:p w14:paraId="69F02ADB" w14:textId="77777777" w:rsidR="0019606D" w:rsidRPr="0019606D" w:rsidRDefault="0019606D" w:rsidP="002B678F">
      <w:pPr>
        <w:spacing w:after="70" w:line="233" w:lineRule="exact"/>
        <w:rPr>
          <w:rStyle w:val="Standard1"/>
          <w:rFonts w:ascii="Minion Pro" w:hAnsi="Minion Pro"/>
        </w:rPr>
      </w:pPr>
      <w:r w:rsidRPr="0019606D">
        <w:rPr>
          <w:rStyle w:val="Standard1"/>
          <w:rFonts w:ascii="Minion Pro" w:hAnsi="Minion Pro"/>
        </w:rPr>
        <w:t>Die Vernichtung von Unterlagen ist allerdings dann nicht zulässig</w:t>
      </w:r>
      <w:r>
        <w:rPr>
          <w:rStyle w:val="Standard1"/>
          <w:rFonts w:ascii="Minion Pro" w:hAnsi="Minion Pro"/>
        </w:rPr>
        <w:t>, wenn die Frist für die Steuer</w:t>
      </w:r>
      <w:r w:rsidRPr="0019606D">
        <w:rPr>
          <w:rStyle w:val="Standard1"/>
          <w:rFonts w:ascii="Minion Pro" w:hAnsi="Minion Pro"/>
        </w:rPr>
        <w:t xml:space="preserve">festsetzung noch </w:t>
      </w:r>
      <w:r w:rsidRPr="00E0132A">
        <w:rPr>
          <w:rStyle w:val="Standard1"/>
          <w:rFonts w:ascii="Minion Pro" w:hAnsi="Minion Pro"/>
          <w:b/>
        </w:rPr>
        <w:t xml:space="preserve">nicht abgelaufen </w:t>
      </w:r>
      <w:r w:rsidRPr="0019606D">
        <w:rPr>
          <w:rStyle w:val="Standard1"/>
          <w:rFonts w:ascii="Minion Pro" w:hAnsi="Minion Pro"/>
        </w:rPr>
        <w:t>ist (vgl. §§ 169, 170 AO).</w:t>
      </w:r>
    </w:p>
    <w:p w14:paraId="3DA8FF15" w14:textId="77777777" w:rsidR="00E06341" w:rsidRPr="00E06341" w:rsidRDefault="0019606D" w:rsidP="002B678F">
      <w:pPr>
        <w:spacing w:after="70" w:line="233" w:lineRule="exact"/>
        <w:rPr>
          <w:sz w:val="19"/>
        </w:rPr>
      </w:pPr>
      <w:r w:rsidRPr="0019606D">
        <w:rPr>
          <w:rStyle w:val="Standard1"/>
          <w:rFonts w:ascii="Minion Pro" w:hAnsi="Minion Pro"/>
        </w:rPr>
        <w:t>Bei der Entscheidung über die Vernichtung von Buchhaltungsunterlagen ist grundsätzlich auch</w:t>
      </w:r>
      <w:r w:rsidR="00E0132A">
        <w:rPr>
          <w:rStyle w:val="Standard1"/>
          <w:rFonts w:ascii="Minion Pro" w:hAnsi="Minion Pro"/>
        </w:rPr>
        <w:t xml:space="preserve"> zu prüfen, </w:t>
      </w:r>
      <w:r w:rsidR="00E0132A" w:rsidRPr="00E0132A">
        <w:rPr>
          <w:rStyle w:val="Standard1"/>
          <w:rFonts w:ascii="Minion Pro" w:hAnsi="Minion Pro"/>
          <w:spacing w:val="-2"/>
        </w:rPr>
        <w:t>ob und welche Unter</w:t>
      </w:r>
      <w:r w:rsidRPr="00E0132A">
        <w:rPr>
          <w:rStyle w:val="Standard1"/>
          <w:rFonts w:ascii="Minion Pro" w:hAnsi="Minion Pro"/>
          <w:spacing w:val="-2"/>
        </w:rPr>
        <w:t>lagen evtl. als Beweise für eine spätere Betriebsprüfung bzw. für ein ggf. noch zu führen</w:t>
      </w:r>
      <w:r w:rsidR="00E0132A" w:rsidRPr="00E0132A">
        <w:rPr>
          <w:rStyle w:val="Standard1"/>
          <w:rFonts w:ascii="Minion Pro" w:hAnsi="Minion Pro"/>
          <w:spacing w:val="-2"/>
        </w:rPr>
        <w:softHyphen/>
      </w:r>
      <w:r w:rsidRPr="00E0132A">
        <w:rPr>
          <w:rStyle w:val="Standard1"/>
          <w:rFonts w:ascii="Minion Pro" w:hAnsi="Minion Pro"/>
          <w:spacing w:val="-2"/>
        </w:rPr>
        <w:t>de</w:t>
      </w:r>
      <w:r w:rsidR="00E0132A" w:rsidRPr="00E0132A">
        <w:rPr>
          <w:rStyle w:val="Standard1"/>
          <w:rFonts w:ascii="Minion Pro" w:hAnsi="Minion Pro"/>
          <w:spacing w:val="-2"/>
        </w:rPr>
        <w:t>s</w:t>
      </w:r>
      <w:r w:rsidR="00E0132A">
        <w:rPr>
          <w:rStyle w:val="Standard1"/>
          <w:rFonts w:ascii="Minion Pro" w:hAnsi="Minion Pro"/>
        </w:rPr>
        <w:t xml:space="preserve"> Rechtsmittel – trotz der offi</w:t>
      </w:r>
      <w:r w:rsidRPr="0019606D">
        <w:rPr>
          <w:rStyle w:val="Standard1"/>
          <w:rFonts w:ascii="Minion Pro" w:hAnsi="Minion Pro"/>
        </w:rPr>
        <w:t>ziellen Vernichtungsmöglichkeit – weiterhin aufbewahrt werden sollten.</w:t>
      </w:r>
    </w:p>
    <w:sectPr w:rsidR="00E06341" w:rsidRPr="00E06341" w:rsidSect="00273719">
      <w:footerReference w:type="even" r:id="rId10"/>
      <w:footerReference w:type="default" r:id="rId11"/>
      <w:footnotePr>
        <w:numRestart w:val="eachSect"/>
      </w:footnotePr>
      <w:pgSz w:w="11906" w:h="16838" w:code="213"/>
      <w:pgMar w:top="992" w:right="1361" w:bottom="975" w:left="907" w:header="0" w:footer="833"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7D5E7" w14:textId="77777777" w:rsidR="00742395" w:rsidRDefault="00742395">
      <w:pPr>
        <w:spacing w:after="0" w:line="240" w:lineRule="auto"/>
      </w:pPr>
      <w:r>
        <w:separator/>
      </w:r>
    </w:p>
  </w:endnote>
  <w:endnote w:type="continuationSeparator" w:id="0">
    <w:p w14:paraId="6436FA8E" w14:textId="77777777" w:rsidR="00742395" w:rsidRDefault="00742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nion Pro">
    <w:altName w:val="Times New Roman"/>
    <w:panose1 w:val="02040503050201020203"/>
    <w:charset w:val="00"/>
    <w:family w:val="roman"/>
    <w:notTrueType/>
    <w:pitch w:val="variable"/>
    <w:sig w:usb0="E00002AF" w:usb1="500060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w:altName w:val="Times New Roman"/>
    <w:charset w:val="4D"/>
    <w:family w:val="roman"/>
    <w:pitch w:val="variable"/>
    <w:sig w:usb0="00000003" w:usb1="00000000" w:usb2="00000000" w:usb3="00000000" w:csb0="00000001" w:csb1="00000000"/>
  </w:font>
  <w:font w:name="Minion Black">
    <w:altName w:val="Times New Roman"/>
    <w:charset w:val="4D"/>
    <w:family w:val="roman"/>
    <w:pitch w:val="variable"/>
    <w:sig w:usb0="00000003" w:usb1="00000000" w:usb2="00000000" w:usb3="00000000" w:csb0="00000001" w:csb1="00000000"/>
  </w:font>
  <w:font w:name="Minion Bold">
    <w:altName w:val="Times New Roman"/>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F5651" w14:textId="77777777" w:rsidR="00E11384" w:rsidRDefault="00AB0FD6">
    <w:pPr>
      <w:pStyle w:val="Fuzeile"/>
    </w:pPr>
    <w:r>
      <w:rPr>
        <w:noProof/>
      </w:rPr>
      <w:drawing>
        <wp:anchor distT="0" distB="0" distL="114300" distR="114300" simplePos="0" relativeHeight="251664384" behindDoc="1" locked="0" layoutInCell="1" allowOverlap="1" wp14:anchorId="63C5C1F4" wp14:editId="34AEA17B">
          <wp:simplePos x="0" y="0"/>
          <wp:positionH relativeFrom="page">
            <wp:posOffset>935355</wp:posOffset>
          </wp:positionH>
          <wp:positionV relativeFrom="page">
            <wp:posOffset>10163810</wp:posOffset>
          </wp:positionV>
          <wp:extent cx="2250000" cy="198000"/>
          <wp:effectExtent l="0" t="0" r="0" b="0"/>
          <wp:wrapTight wrapText="bothSides">
            <wp:wrapPolygon edited="0">
              <wp:start x="0" y="0"/>
              <wp:lineTo x="0" y="18752"/>
              <wp:lineTo x="21399" y="18752"/>
              <wp:lineTo x="21399"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_FusszL_03_2020.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0000" cy="19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13736" w14:textId="77777777" w:rsidR="00E11384" w:rsidRDefault="00AB0FD6">
    <w:pPr>
      <w:pStyle w:val="Fuzeile"/>
    </w:pPr>
    <w:r>
      <w:rPr>
        <w:noProof/>
      </w:rPr>
      <w:drawing>
        <wp:anchor distT="0" distB="0" distL="114300" distR="114300" simplePos="0" relativeHeight="251663360" behindDoc="1" locked="0" layoutInCell="1" allowOverlap="1" wp14:anchorId="2A75BE7B" wp14:editId="02194383">
          <wp:simplePos x="0" y="0"/>
          <wp:positionH relativeFrom="page">
            <wp:posOffset>4457065</wp:posOffset>
          </wp:positionH>
          <wp:positionV relativeFrom="page">
            <wp:posOffset>10163810</wp:posOffset>
          </wp:positionV>
          <wp:extent cx="2250000" cy="198000"/>
          <wp:effectExtent l="0" t="0" r="0" b="0"/>
          <wp:wrapTight wrapText="bothSides">
            <wp:wrapPolygon edited="0">
              <wp:start x="0" y="0"/>
              <wp:lineTo x="0" y="18752"/>
              <wp:lineTo x="21399" y="18752"/>
              <wp:lineTo x="21399"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_FusszR_03_2020.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0000" cy="19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C4D07" w14:textId="77777777" w:rsidR="00742395" w:rsidRDefault="00742395">
      <w:r>
        <w:t>______________________________________________________________________________________</w:t>
      </w:r>
    </w:p>
  </w:footnote>
  <w:footnote w:type="continuationSeparator" w:id="0">
    <w:p w14:paraId="269B3BBD" w14:textId="77777777" w:rsidR="00742395" w:rsidRDefault="00742395">
      <w:pPr>
        <w:spacing w:after="0" w:line="240" w:lineRule="auto"/>
      </w:pPr>
      <w:r>
        <w:continuationSeparator/>
      </w:r>
    </w:p>
  </w:footnote>
  <w:footnote w:id="1">
    <w:p w14:paraId="1E3FAF5D" w14:textId="77777777" w:rsidR="008F5C91" w:rsidRDefault="008F5C91" w:rsidP="008F5C91">
      <w:pPr>
        <w:pStyle w:val="Funotentext"/>
      </w:pPr>
      <w:r>
        <w:rPr>
          <w:rStyle w:val="Funotenzeichen"/>
        </w:rPr>
        <w:footnoteRef/>
      </w:r>
      <w:r>
        <w:tab/>
      </w:r>
      <w:r>
        <w:rPr>
          <w:spacing w:val="-2"/>
        </w:rPr>
        <w:t>Lohnsteuer-</w:t>
      </w:r>
      <w:r>
        <w:rPr>
          <w:b/>
          <w:spacing w:val="-2"/>
        </w:rPr>
        <w:t>Anmeldungen</w:t>
      </w:r>
      <w:r>
        <w:rPr>
          <w:spacing w:val="-2"/>
        </w:rPr>
        <w:t xml:space="preserve"> bzw. Umsatzsteuer-</w:t>
      </w:r>
      <w:r>
        <w:rPr>
          <w:b/>
          <w:spacing w:val="-2"/>
        </w:rPr>
        <w:t>Voranmeldungen</w:t>
      </w:r>
      <w:r>
        <w:rPr>
          <w:spacing w:val="-2"/>
        </w:rPr>
        <w:t xml:space="preserve"> müssen bis zum Fälligkeitstag abgegeben werden, da sonst Verspätungs</w:t>
      </w:r>
      <w:r>
        <w:rPr>
          <w:spacing w:val="-2"/>
        </w:rPr>
        <w:softHyphen/>
        <w:t>zuschläge entstehen können.</w:t>
      </w:r>
    </w:p>
  </w:footnote>
  <w:footnote w:id="2">
    <w:p w14:paraId="0C37542A" w14:textId="77777777" w:rsidR="008F5C91" w:rsidRDefault="008F5C91" w:rsidP="008F5C91">
      <w:pPr>
        <w:pStyle w:val="Funotentext"/>
      </w:pPr>
      <w:r>
        <w:rPr>
          <w:rStyle w:val="Funotenzeichen"/>
        </w:rPr>
        <w:footnoteRef/>
      </w:r>
      <w:r>
        <w:tab/>
        <w:t>Für den abgelaufenen Monat.</w:t>
      </w:r>
    </w:p>
  </w:footnote>
  <w:footnote w:id="3">
    <w:p w14:paraId="41A47D6A" w14:textId="77777777" w:rsidR="008F5C91" w:rsidRDefault="008F5C91" w:rsidP="008F5C91">
      <w:pPr>
        <w:pStyle w:val="Funotentext"/>
      </w:pPr>
      <w:r>
        <w:rPr>
          <w:rStyle w:val="Funotenzeichen"/>
        </w:rPr>
        <w:footnoteRef/>
      </w:r>
      <w:r>
        <w:tab/>
      </w:r>
      <w:r w:rsidRPr="00F17EC4">
        <w:t>Für den abgelaufenen Monat; bei Dauerfristverlängerung für den vorletzten Monat.</w:t>
      </w:r>
    </w:p>
  </w:footnote>
  <w:footnote w:id="4">
    <w:p w14:paraId="5E6C2126" w14:textId="77777777" w:rsidR="0065714D" w:rsidRDefault="0065714D">
      <w:pPr>
        <w:pStyle w:val="Funotentext"/>
      </w:pPr>
      <w:r>
        <w:rPr>
          <w:rStyle w:val="Funotenzeichen"/>
        </w:rPr>
        <w:footnoteRef/>
      </w:r>
      <w:r>
        <w:t xml:space="preserve"> </w:t>
      </w:r>
      <w:r>
        <w:tab/>
      </w:r>
      <w:r w:rsidRPr="0065714D">
        <w:t>§ 9 Abs. 6 EStG.</w:t>
      </w:r>
    </w:p>
  </w:footnote>
  <w:footnote w:id="5">
    <w:p w14:paraId="7540A03E" w14:textId="77777777" w:rsidR="0065714D" w:rsidRDefault="0065714D">
      <w:pPr>
        <w:pStyle w:val="Funotentext"/>
      </w:pPr>
      <w:r>
        <w:rPr>
          <w:rStyle w:val="Funotenzeichen"/>
        </w:rPr>
        <w:footnoteRef/>
      </w:r>
      <w:r>
        <w:t xml:space="preserve"> </w:t>
      </w:r>
      <w:r>
        <w:tab/>
      </w:r>
      <w:r w:rsidRPr="0065714D">
        <w:t>§ 10 Abs. 1 Nr. 7 EStG.</w:t>
      </w:r>
    </w:p>
  </w:footnote>
  <w:footnote w:id="6">
    <w:p w14:paraId="4B506AE0" w14:textId="77777777" w:rsidR="0065714D" w:rsidRDefault="0065714D">
      <w:pPr>
        <w:pStyle w:val="Funotentext"/>
      </w:pPr>
      <w:r>
        <w:rPr>
          <w:rStyle w:val="Funotenzeichen"/>
        </w:rPr>
        <w:footnoteRef/>
      </w:r>
      <w:r>
        <w:t xml:space="preserve"> </w:t>
      </w:r>
      <w:r>
        <w:tab/>
      </w:r>
      <w:r w:rsidRPr="0065714D">
        <w:t>Beschluss vom 19.11.2019 2 BvL 22/14, 2 BvL 23/14, 2 BvL 24/14, 2 BvL 25/14, 2 BvL 26/14, 2 BvL 27/14.</w:t>
      </w:r>
    </w:p>
  </w:footnote>
  <w:footnote w:id="7">
    <w:p w14:paraId="6720F30E" w14:textId="77777777" w:rsidR="002D4938" w:rsidRDefault="002D4938">
      <w:pPr>
        <w:pStyle w:val="Funotentext"/>
      </w:pPr>
      <w:r>
        <w:rPr>
          <w:lang w:val="it-IT"/>
        </w:rPr>
        <w:t> </w:t>
      </w:r>
      <w:r>
        <w:rPr>
          <w:rStyle w:val="Funotenzeichen"/>
        </w:rPr>
        <w:footnoteRef/>
      </w:r>
      <w:r>
        <w:t xml:space="preserve"> </w:t>
      </w:r>
      <w:r>
        <w:tab/>
      </w:r>
      <w:r w:rsidRPr="002D4938">
        <w:t>Siehe hierzu auch Informationsbrief Januar 2020 Nr. 2.</w:t>
      </w:r>
    </w:p>
  </w:footnote>
  <w:footnote w:id="8">
    <w:p w14:paraId="76195E90" w14:textId="77777777" w:rsidR="002D4938" w:rsidRDefault="00796C6B">
      <w:pPr>
        <w:pStyle w:val="Funotentext"/>
      </w:pPr>
      <w:r>
        <w:rPr>
          <w:lang w:val="it-IT"/>
        </w:rPr>
        <w:t> </w:t>
      </w:r>
      <w:r w:rsidR="002D4938">
        <w:rPr>
          <w:rStyle w:val="Funotenzeichen"/>
        </w:rPr>
        <w:footnoteRef/>
      </w:r>
      <w:r w:rsidR="002D4938">
        <w:t xml:space="preserve"> </w:t>
      </w:r>
      <w:r w:rsidR="002D4938">
        <w:tab/>
      </w:r>
      <w:r w:rsidR="002D4938" w:rsidRPr="002D4938">
        <w:t>Siehe § 8 Abs. 4 EStG i. d. F.</w:t>
      </w:r>
      <w:r w:rsidR="002D4938">
        <w:t xml:space="preserve"> des Entwurfs eines Grundrenten</w:t>
      </w:r>
      <w:r w:rsidR="002D4938" w:rsidRPr="002D4938">
        <w:t>gesetzes; BMF-Schreiben vom 05.02.2020 – IV C 5 – S 2334/19/10017.</w:t>
      </w:r>
    </w:p>
  </w:footnote>
  <w:footnote w:id="9">
    <w:p w14:paraId="464DAB87" w14:textId="77777777" w:rsidR="002D4938" w:rsidRDefault="00796C6B">
      <w:pPr>
        <w:pStyle w:val="Funotentext"/>
      </w:pPr>
      <w:r>
        <w:rPr>
          <w:lang w:val="it-IT"/>
        </w:rPr>
        <w:t> </w:t>
      </w:r>
      <w:r w:rsidR="002D4938">
        <w:rPr>
          <w:rStyle w:val="Funotenzeichen"/>
        </w:rPr>
        <w:footnoteRef/>
      </w:r>
      <w:r w:rsidR="002D4938">
        <w:t xml:space="preserve"> </w:t>
      </w:r>
      <w:r w:rsidR="002D4938">
        <w:tab/>
      </w:r>
      <w:r w:rsidR="002D4938" w:rsidRPr="002D4938">
        <w:t>Vgl. § 8 Abs. 2 Satz 11 EStG n. F.</w:t>
      </w:r>
    </w:p>
  </w:footnote>
  <w:footnote w:id="10">
    <w:p w14:paraId="2CBA4591" w14:textId="77777777" w:rsidR="008242C0" w:rsidRDefault="008242C0">
      <w:pPr>
        <w:pStyle w:val="Funotentext"/>
      </w:pPr>
      <w:r>
        <w:rPr>
          <w:rStyle w:val="Funotenzeichen"/>
        </w:rPr>
        <w:footnoteRef/>
      </w:r>
      <w:r>
        <w:t xml:space="preserve"> </w:t>
      </w:r>
      <w:r>
        <w:tab/>
      </w:r>
      <w:r w:rsidRPr="008242C0">
        <w:t>Siehe hierzu z. B. BFH-Urteil vom 11.07.2017 IX R 36/15 (BStBl 2019 II S. 208) sowie Informationsbrief Juni 2019 Nr. 7.</w:t>
      </w:r>
    </w:p>
  </w:footnote>
  <w:footnote w:id="11">
    <w:p w14:paraId="010B9842" w14:textId="77777777" w:rsidR="008242C0" w:rsidRDefault="008242C0">
      <w:pPr>
        <w:pStyle w:val="Funotentext"/>
      </w:pPr>
      <w:r>
        <w:rPr>
          <w:rStyle w:val="Funotenzeichen"/>
        </w:rPr>
        <w:footnoteRef/>
      </w:r>
      <w:r>
        <w:t xml:space="preserve"> </w:t>
      </w:r>
      <w:r>
        <w:tab/>
      </w:r>
      <w:r w:rsidRPr="008242C0">
        <w:t>Siehe das sog. Jahressteuergesetz 2019 (BGBl 2019 I S. 2451).</w:t>
      </w:r>
    </w:p>
  </w:footnote>
  <w:footnote w:id="12">
    <w:p w14:paraId="34DCC184" w14:textId="77777777" w:rsidR="00796C6B" w:rsidRDefault="00796C6B">
      <w:pPr>
        <w:pStyle w:val="Funotentext"/>
      </w:pPr>
      <w:r>
        <w:rPr>
          <w:rStyle w:val="Funotenzeichen"/>
        </w:rPr>
        <w:footnoteRef/>
      </w:r>
      <w:r>
        <w:t xml:space="preserve"> </w:t>
      </w:r>
      <w:r>
        <w:tab/>
      </w:r>
      <w:r w:rsidRPr="00796C6B">
        <w:t>Vgl. § 17 Abs. 2a EStG n. F., anzuwenden für Veräußerungen nach dem 31.07.2019. Auf Antrag kann die Neuregelung auch für Ver</w:t>
      </w:r>
      <w:r>
        <w:softHyphen/>
      </w:r>
      <w:r w:rsidRPr="00796C6B">
        <w:t>äußerungen davor angewendet werden (§ 52 Abs. 25a EStG n. F.).</w:t>
      </w:r>
    </w:p>
  </w:footnote>
  <w:footnote w:id="13">
    <w:p w14:paraId="13F8BEDF" w14:textId="77777777" w:rsidR="00796C6B" w:rsidRDefault="00796C6B">
      <w:pPr>
        <w:pStyle w:val="Funotentext"/>
      </w:pPr>
      <w:r>
        <w:rPr>
          <w:rStyle w:val="Funotenzeichen"/>
        </w:rPr>
        <w:footnoteRef/>
      </w:r>
      <w:r>
        <w:t xml:space="preserve"> </w:t>
      </w:r>
      <w:r>
        <w:tab/>
      </w:r>
      <w:r w:rsidRPr="00796C6B">
        <w:t>Siehe hierzu Urteil vom 24.10.2017 VIII R 13/15.</w:t>
      </w:r>
    </w:p>
  </w:footnote>
  <w:footnote w:id="14">
    <w:p w14:paraId="48BF2ECA" w14:textId="77777777" w:rsidR="00796C6B" w:rsidRDefault="00796C6B">
      <w:pPr>
        <w:pStyle w:val="Funotentext"/>
      </w:pPr>
      <w:r>
        <w:rPr>
          <w:rStyle w:val="Funotenzeichen"/>
        </w:rPr>
        <w:footnoteRef/>
      </w:r>
      <w:r>
        <w:t xml:space="preserve"> </w:t>
      </w:r>
      <w:r>
        <w:tab/>
      </w:r>
      <w:r w:rsidRPr="00796C6B">
        <w:t xml:space="preserve">Vgl. § 20 Abs. 6 Satz 5 und 6 EStG n. F. Dies gilt erstmals für Verluste aus Kapitalforderungen, die ab dem Jahr 2020 entstehen. Für </w:t>
      </w:r>
      <w:r>
        <w:rPr>
          <w:b/>
        </w:rPr>
        <w:t>Verluste aus Termin</w:t>
      </w:r>
      <w:r w:rsidRPr="00796C6B">
        <w:rPr>
          <w:b/>
        </w:rPr>
        <w:t>geschäften</w:t>
      </w:r>
      <w:r w:rsidRPr="00796C6B">
        <w:t xml:space="preserve"> ist künftig eine Verrechnung im Wesentlichen nur mit Gewinnen aus Termingeschäften bis zur Höhe von 10.000 Euro pro Jahr zulässig; dies gilt für Verluste, die ab 2021 entstehen (§ 52 Abs. 28 Satz 23 und 24 EStG n. F.).</w:t>
      </w:r>
    </w:p>
  </w:footnote>
  <w:footnote w:id="15">
    <w:p w14:paraId="6972DF4C" w14:textId="77777777" w:rsidR="0062207F" w:rsidRDefault="0062207F">
      <w:pPr>
        <w:pStyle w:val="Funotentext"/>
      </w:pPr>
      <w:r>
        <w:rPr>
          <w:rStyle w:val="Funotenzeichen"/>
        </w:rPr>
        <w:footnoteRef/>
      </w:r>
      <w:r>
        <w:t xml:space="preserve"> </w:t>
      </w:r>
      <w:r>
        <w:tab/>
      </w:r>
      <w:r w:rsidRPr="0062207F">
        <w:t>Art. 7 des Gesetzes zur Einführung einer Pflicht zur Mitteilung grenzüberschreitender Steuergestaltungen (BGBl 2019 I S. 2875).</w:t>
      </w:r>
    </w:p>
  </w:footnote>
  <w:footnote w:id="16">
    <w:p w14:paraId="76ED5BF2" w14:textId="77777777" w:rsidR="00694D1D" w:rsidRDefault="00694D1D">
      <w:pPr>
        <w:pStyle w:val="Funotentext"/>
      </w:pPr>
      <w:r>
        <w:rPr>
          <w:rStyle w:val="Funotenzeichen"/>
        </w:rPr>
        <w:footnoteRef/>
      </w:r>
      <w:r>
        <w:t xml:space="preserve"> </w:t>
      </w:r>
      <w:r>
        <w:tab/>
      </w:r>
      <w:r w:rsidRPr="00694D1D">
        <w:t>§ 33 Abs. 1 Satz 1 und 2 GrStG; besondere Voraussetzungen gelten bei Betrieben der Land- un</w:t>
      </w:r>
      <w:r>
        <w:t>d Forstwirtschaft und bei eigen</w:t>
      </w:r>
      <w:r w:rsidRPr="00694D1D">
        <w:t>gewerblich genutzten Grundstücken (siehe § 33 Abs. 1 Satz 3 GrStG).</w:t>
      </w:r>
    </w:p>
  </w:footnote>
  <w:footnote w:id="17">
    <w:p w14:paraId="0AED3DFD" w14:textId="77777777" w:rsidR="00694D1D" w:rsidRDefault="00694D1D">
      <w:pPr>
        <w:pStyle w:val="Funotentext"/>
      </w:pPr>
      <w:r>
        <w:rPr>
          <w:rStyle w:val="Funotenzeichen"/>
        </w:rPr>
        <w:footnoteRef/>
      </w:r>
      <w:r>
        <w:t xml:space="preserve"> </w:t>
      </w:r>
      <w:r>
        <w:tab/>
      </w:r>
      <w:r w:rsidRPr="00694D1D">
        <w:t>Siehe OVG Rheinland-Pfalz, Urteil vom 02.05.2016 6 A 10971/15.</w:t>
      </w:r>
    </w:p>
  </w:footnote>
  <w:footnote w:id="18">
    <w:p w14:paraId="4A6FDC1D" w14:textId="77777777" w:rsidR="00F93635" w:rsidRDefault="00F93635">
      <w:pPr>
        <w:pStyle w:val="Funotentext"/>
      </w:pPr>
      <w:r>
        <w:rPr>
          <w:rStyle w:val="Funotenzeichen"/>
        </w:rPr>
        <w:footnoteRef/>
      </w:r>
      <w:r>
        <w:t xml:space="preserve"> </w:t>
      </w:r>
      <w:r>
        <w:tab/>
      </w:r>
      <w:r w:rsidRPr="00F93635">
        <w:t>Vom 21.12.2019 (BGBl 2019 I S. 2886).</w:t>
      </w:r>
    </w:p>
  </w:footnote>
  <w:footnote w:id="19">
    <w:p w14:paraId="405C3022" w14:textId="77777777" w:rsidR="00F93635" w:rsidRDefault="00F93635">
      <w:pPr>
        <w:pStyle w:val="Funotentext"/>
      </w:pPr>
      <w:r>
        <w:rPr>
          <w:rStyle w:val="Funotenzeichen"/>
        </w:rPr>
        <w:footnoteRef/>
      </w:r>
      <w:r>
        <w:t xml:space="preserve"> </w:t>
      </w:r>
      <w:r>
        <w:tab/>
      </w:r>
      <w:r w:rsidRPr="00F93635">
        <w:t>Siehe BMF-Schreiben vom 21.01.2020 – III C 2 – S 7244/19/10002 (BStBl 2020 I S. 197).</w:t>
      </w:r>
    </w:p>
  </w:footnote>
  <w:footnote w:id="20">
    <w:p w14:paraId="2BAF5BE6" w14:textId="77777777" w:rsidR="0019606D" w:rsidRDefault="0019606D">
      <w:pPr>
        <w:pStyle w:val="Funotentext"/>
      </w:pPr>
      <w:r>
        <w:rPr>
          <w:rStyle w:val="Funotenzeichen"/>
        </w:rPr>
        <w:footnoteRef/>
      </w:r>
      <w:r>
        <w:t xml:space="preserve"> </w:t>
      </w:r>
      <w:r>
        <w:tab/>
      </w:r>
      <w:r w:rsidRPr="0019606D">
        <w:t>BMF-Schreiben vom 21.01.2020 (Fußnote 19), Rz. 9 und 19.</w:t>
      </w:r>
    </w:p>
  </w:footnote>
  <w:footnote w:id="21">
    <w:p w14:paraId="01654E57" w14:textId="77777777" w:rsidR="0019606D" w:rsidRDefault="0019606D">
      <w:pPr>
        <w:pStyle w:val="Funotentext"/>
      </w:pPr>
      <w:r>
        <w:rPr>
          <w:rStyle w:val="Funotenzeichen"/>
        </w:rPr>
        <w:footnoteRef/>
      </w:r>
      <w:r>
        <w:t xml:space="preserve"> </w:t>
      </w:r>
      <w:r>
        <w:tab/>
      </w:r>
      <w:r w:rsidRPr="0019606D">
        <w:t>Siehe dazu BFH-Urteil vom 19.08.2002 VIII R 30/01 (BStBl 2003 II S. 131).</w:t>
      </w:r>
    </w:p>
  </w:footnote>
  <w:footnote w:id="22">
    <w:p w14:paraId="267B1388" w14:textId="77777777" w:rsidR="0019606D" w:rsidRDefault="0019606D">
      <w:pPr>
        <w:pStyle w:val="Funotentext"/>
      </w:pPr>
      <w:r>
        <w:rPr>
          <w:rStyle w:val="Funotenzeichen"/>
        </w:rPr>
        <w:footnoteRef/>
      </w:r>
      <w:r>
        <w:t xml:space="preserve"> </w:t>
      </w:r>
      <w:r>
        <w:tab/>
      </w:r>
      <w:r w:rsidRPr="0019606D">
        <w:t xml:space="preserve">Elektronisch übermittelte </w:t>
      </w:r>
      <w:r w:rsidRPr="0019606D">
        <w:rPr>
          <w:b/>
        </w:rPr>
        <w:t>(digitale)</w:t>
      </w:r>
      <w:r w:rsidRPr="0019606D">
        <w:t xml:space="preserve"> Kontoauszüge sind entsprechend den gesetzlichen Anforderungen in Bezug auf Vollständigkeit, Richtigkeit und Unveränderbarkeit aufzubewahren. Die alleinige Aufbewahrung entsprechender </w:t>
      </w:r>
      <w:r w:rsidRPr="0019606D">
        <w:rPr>
          <w:b/>
        </w:rPr>
        <w:t>Papierausdrucke</w:t>
      </w:r>
      <w:r>
        <w:t xml:space="preserve"> genügt den ge</w:t>
      </w:r>
      <w:r w:rsidRPr="0019606D">
        <w:t>setz</w:t>
      </w:r>
      <w:r>
        <w:softHyphen/>
      </w:r>
      <w:r w:rsidRPr="0019606D">
        <w:t xml:space="preserve">lichen Aufbewahrungspflichten </w:t>
      </w:r>
      <w:r w:rsidRPr="0019606D">
        <w:rPr>
          <w:b/>
        </w:rPr>
        <w:t>nicht</w:t>
      </w:r>
      <w:r w:rsidRPr="0019606D">
        <w:t>. S</w:t>
      </w:r>
      <w:r>
        <w:t>oweit Kontoauszüge bzw. Monats</w:t>
      </w:r>
      <w:r w:rsidRPr="0019606D">
        <w:t>sammelkontoa</w:t>
      </w:r>
      <w:r>
        <w:t xml:space="preserve">uszüge in </w:t>
      </w:r>
      <w:r w:rsidRPr="0019606D">
        <w:rPr>
          <w:b/>
        </w:rPr>
        <w:t>Papierform</w:t>
      </w:r>
      <w:r>
        <w:t xml:space="preserve"> von Kredit</w:t>
      </w:r>
      <w:r w:rsidRPr="0019606D">
        <w:t>instituten zur Verfügung gestellt werden, ist zu empf</w:t>
      </w:r>
      <w:r>
        <w:t>ehlen, diese weiterhin zu archi</w:t>
      </w:r>
      <w:r w:rsidRPr="0019606D">
        <w:t>vieren.</w:t>
      </w:r>
    </w:p>
  </w:footnote>
  <w:footnote w:id="23">
    <w:p w14:paraId="5AA91D86" w14:textId="77777777" w:rsidR="0019606D" w:rsidRDefault="0019606D">
      <w:pPr>
        <w:pStyle w:val="Funotentext"/>
      </w:pPr>
      <w:r>
        <w:rPr>
          <w:rStyle w:val="Funotenzeichen"/>
        </w:rPr>
        <w:footnoteRef/>
      </w:r>
      <w:r>
        <w:t xml:space="preserve"> </w:t>
      </w:r>
      <w:r>
        <w:tab/>
      </w:r>
      <w:r w:rsidRPr="0019606D">
        <w:t>Siehe § 41 Abs. 1 Satz 9 EStG.</w:t>
      </w:r>
    </w:p>
  </w:footnote>
  <w:footnote w:id="24">
    <w:p w14:paraId="24DE9036" w14:textId="77777777" w:rsidR="0019606D" w:rsidRDefault="0019606D">
      <w:pPr>
        <w:pStyle w:val="Funotentext"/>
      </w:pPr>
      <w:r>
        <w:rPr>
          <w:rStyle w:val="Funotenzeichen"/>
        </w:rPr>
        <w:footnoteRef/>
      </w:r>
      <w:r>
        <w:t xml:space="preserve"> </w:t>
      </w:r>
      <w:r>
        <w:tab/>
      </w:r>
      <w:r w:rsidRPr="0019606D">
        <w:t xml:space="preserve">Siehe dazu die sog. </w:t>
      </w:r>
      <w:proofErr w:type="spellStart"/>
      <w:r w:rsidRPr="0019606D">
        <w:t>GoBD</w:t>
      </w:r>
      <w:proofErr w:type="spellEnd"/>
      <w:r w:rsidRPr="0019606D">
        <w:t>-Grundsätze (zuletzt BMF-Schreiben vom 28.11.2019 – IV A 4 – S 0316/19/10003, BStBl 2019 I S. 1269).</w:t>
      </w:r>
    </w:p>
  </w:footnote>
  <w:footnote w:id="25">
    <w:p w14:paraId="094F206B" w14:textId="77777777" w:rsidR="0019606D" w:rsidRDefault="0019606D">
      <w:pPr>
        <w:pStyle w:val="Funotentext"/>
      </w:pPr>
      <w:r>
        <w:rPr>
          <w:rStyle w:val="Funotenzeichen"/>
        </w:rPr>
        <w:footnoteRef/>
      </w:r>
      <w:r>
        <w:t xml:space="preserve"> </w:t>
      </w:r>
      <w:r>
        <w:tab/>
      </w:r>
      <w:r w:rsidRPr="0019606D">
        <w:t>Siehe § 147 Abs. 5 und 6 AO; § 9 Abs. 5 Beitragsverfahrensverordnung.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554575"/>
    <w:multiLevelType w:val="hybridMultilevel"/>
    <w:tmpl w:val="D99EFC58"/>
    <w:lvl w:ilvl="0" w:tplc="40C40818">
      <w:start w:val="10"/>
      <w:numFmt w:val="bullet"/>
      <w:lvlText w:val="•"/>
      <w:lvlJc w:val="left"/>
      <w:pPr>
        <w:ind w:left="927" w:hanging="360"/>
      </w:pPr>
      <w:rPr>
        <w:rFonts w:ascii="Minion Pro" w:eastAsia="Times New Roman" w:hAnsi="Minion Pro" w:cs="Times New Roman"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attachedTemplate r:id="rId1"/>
  <w:defaultTabStop w:val="4253"/>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style="mso-position-horizontal-relative:page" fillcolor="silver" stroke="f">
      <v:fill color="silver"/>
      <v:stroke on="f"/>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1350"/>
    <w:rsid w:val="00007BAE"/>
    <w:rsid w:val="00015FFA"/>
    <w:rsid w:val="00017472"/>
    <w:rsid w:val="0004012B"/>
    <w:rsid w:val="0005256D"/>
    <w:rsid w:val="000564F2"/>
    <w:rsid w:val="000620CB"/>
    <w:rsid w:val="00090DF5"/>
    <w:rsid w:val="0009580D"/>
    <w:rsid w:val="000A3A3E"/>
    <w:rsid w:val="000B4436"/>
    <w:rsid w:val="000D6780"/>
    <w:rsid w:val="000E283E"/>
    <w:rsid w:val="000E3D5D"/>
    <w:rsid w:val="000E53BA"/>
    <w:rsid w:val="000F2D25"/>
    <w:rsid w:val="00146351"/>
    <w:rsid w:val="0015537B"/>
    <w:rsid w:val="001572A3"/>
    <w:rsid w:val="001920F1"/>
    <w:rsid w:val="0019347A"/>
    <w:rsid w:val="001945F7"/>
    <w:rsid w:val="001952AB"/>
    <w:rsid w:val="0019606D"/>
    <w:rsid w:val="001B2034"/>
    <w:rsid w:val="001B52D6"/>
    <w:rsid w:val="001C1874"/>
    <w:rsid w:val="001C3F2F"/>
    <w:rsid w:val="001C54BA"/>
    <w:rsid w:val="001D4069"/>
    <w:rsid w:val="001E3DBB"/>
    <w:rsid w:val="00221861"/>
    <w:rsid w:val="00222548"/>
    <w:rsid w:val="00224FB5"/>
    <w:rsid w:val="00240435"/>
    <w:rsid w:val="0024284B"/>
    <w:rsid w:val="002605A5"/>
    <w:rsid w:val="00260D7D"/>
    <w:rsid w:val="00266522"/>
    <w:rsid w:val="00273719"/>
    <w:rsid w:val="002861DC"/>
    <w:rsid w:val="002908A1"/>
    <w:rsid w:val="002B17E5"/>
    <w:rsid w:val="002B5ED3"/>
    <w:rsid w:val="002B633A"/>
    <w:rsid w:val="002B678F"/>
    <w:rsid w:val="002C251A"/>
    <w:rsid w:val="002C4F69"/>
    <w:rsid w:val="002D4938"/>
    <w:rsid w:val="002E2F0E"/>
    <w:rsid w:val="002E3117"/>
    <w:rsid w:val="00303DCE"/>
    <w:rsid w:val="003049B8"/>
    <w:rsid w:val="00305592"/>
    <w:rsid w:val="003214AB"/>
    <w:rsid w:val="003241ED"/>
    <w:rsid w:val="00344720"/>
    <w:rsid w:val="003737B3"/>
    <w:rsid w:val="003816B6"/>
    <w:rsid w:val="003867A6"/>
    <w:rsid w:val="00395E69"/>
    <w:rsid w:val="003A563F"/>
    <w:rsid w:val="003B1C5B"/>
    <w:rsid w:val="003C3B18"/>
    <w:rsid w:val="003C4F41"/>
    <w:rsid w:val="003C7EEA"/>
    <w:rsid w:val="003D6F80"/>
    <w:rsid w:val="003E0069"/>
    <w:rsid w:val="003E4217"/>
    <w:rsid w:val="003F4C61"/>
    <w:rsid w:val="0041263E"/>
    <w:rsid w:val="00421B3F"/>
    <w:rsid w:val="0042557F"/>
    <w:rsid w:val="00453C17"/>
    <w:rsid w:val="00461461"/>
    <w:rsid w:val="004A6F2C"/>
    <w:rsid w:val="004A6FCF"/>
    <w:rsid w:val="004C23F1"/>
    <w:rsid w:val="004D0FE3"/>
    <w:rsid w:val="004D6108"/>
    <w:rsid w:val="00500342"/>
    <w:rsid w:val="0051671E"/>
    <w:rsid w:val="00530E64"/>
    <w:rsid w:val="00534095"/>
    <w:rsid w:val="00536F7F"/>
    <w:rsid w:val="00551B6F"/>
    <w:rsid w:val="00553A36"/>
    <w:rsid w:val="0056340F"/>
    <w:rsid w:val="00565499"/>
    <w:rsid w:val="00572122"/>
    <w:rsid w:val="00582CC1"/>
    <w:rsid w:val="00586823"/>
    <w:rsid w:val="005A09F1"/>
    <w:rsid w:val="005A58DE"/>
    <w:rsid w:val="005B3A07"/>
    <w:rsid w:val="005B5C61"/>
    <w:rsid w:val="005C4FEC"/>
    <w:rsid w:val="005D7898"/>
    <w:rsid w:val="005E52F4"/>
    <w:rsid w:val="005F2219"/>
    <w:rsid w:val="005F2D89"/>
    <w:rsid w:val="005F43BD"/>
    <w:rsid w:val="005F46EA"/>
    <w:rsid w:val="00606209"/>
    <w:rsid w:val="00614FEA"/>
    <w:rsid w:val="0062207F"/>
    <w:rsid w:val="006272AC"/>
    <w:rsid w:val="00631BAF"/>
    <w:rsid w:val="006436B8"/>
    <w:rsid w:val="006466C0"/>
    <w:rsid w:val="0065714D"/>
    <w:rsid w:val="00694D1D"/>
    <w:rsid w:val="006D6C03"/>
    <w:rsid w:val="00723DBD"/>
    <w:rsid w:val="00733E1D"/>
    <w:rsid w:val="00742395"/>
    <w:rsid w:val="00750655"/>
    <w:rsid w:val="00761971"/>
    <w:rsid w:val="00782201"/>
    <w:rsid w:val="00782463"/>
    <w:rsid w:val="007943E9"/>
    <w:rsid w:val="00796C6B"/>
    <w:rsid w:val="007B7640"/>
    <w:rsid w:val="007C54F2"/>
    <w:rsid w:val="007C771C"/>
    <w:rsid w:val="007D2073"/>
    <w:rsid w:val="007D2474"/>
    <w:rsid w:val="007E2FD3"/>
    <w:rsid w:val="007E5404"/>
    <w:rsid w:val="007F1296"/>
    <w:rsid w:val="007F4C1E"/>
    <w:rsid w:val="00807772"/>
    <w:rsid w:val="00810434"/>
    <w:rsid w:val="00817633"/>
    <w:rsid w:val="008218DF"/>
    <w:rsid w:val="008242C0"/>
    <w:rsid w:val="00827A43"/>
    <w:rsid w:val="00833A1C"/>
    <w:rsid w:val="00850753"/>
    <w:rsid w:val="00852E79"/>
    <w:rsid w:val="008573D8"/>
    <w:rsid w:val="00867DB7"/>
    <w:rsid w:val="008A0EBE"/>
    <w:rsid w:val="008A1890"/>
    <w:rsid w:val="008A42F4"/>
    <w:rsid w:val="008F26FB"/>
    <w:rsid w:val="008F48C3"/>
    <w:rsid w:val="008F5C91"/>
    <w:rsid w:val="00900593"/>
    <w:rsid w:val="00930841"/>
    <w:rsid w:val="009512E7"/>
    <w:rsid w:val="00952066"/>
    <w:rsid w:val="009548A3"/>
    <w:rsid w:val="0095648F"/>
    <w:rsid w:val="009762D5"/>
    <w:rsid w:val="0098267E"/>
    <w:rsid w:val="00992294"/>
    <w:rsid w:val="009B472B"/>
    <w:rsid w:val="009C6EBD"/>
    <w:rsid w:val="009D058F"/>
    <w:rsid w:val="009D7E10"/>
    <w:rsid w:val="009E19E6"/>
    <w:rsid w:val="009E74A9"/>
    <w:rsid w:val="009F3975"/>
    <w:rsid w:val="009F6058"/>
    <w:rsid w:val="00A04DCE"/>
    <w:rsid w:val="00A10219"/>
    <w:rsid w:val="00A11643"/>
    <w:rsid w:val="00A165A2"/>
    <w:rsid w:val="00A1764E"/>
    <w:rsid w:val="00A331FF"/>
    <w:rsid w:val="00A4148F"/>
    <w:rsid w:val="00A6491D"/>
    <w:rsid w:val="00A64C64"/>
    <w:rsid w:val="00A65276"/>
    <w:rsid w:val="00A67470"/>
    <w:rsid w:val="00A818BD"/>
    <w:rsid w:val="00A94352"/>
    <w:rsid w:val="00AA48FF"/>
    <w:rsid w:val="00AB0FD6"/>
    <w:rsid w:val="00AC2943"/>
    <w:rsid w:val="00AC4AFA"/>
    <w:rsid w:val="00AC5F82"/>
    <w:rsid w:val="00AE14C0"/>
    <w:rsid w:val="00B0343E"/>
    <w:rsid w:val="00B12873"/>
    <w:rsid w:val="00B415AF"/>
    <w:rsid w:val="00B44F0D"/>
    <w:rsid w:val="00B83259"/>
    <w:rsid w:val="00B92121"/>
    <w:rsid w:val="00BA4142"/>
    <w:rsid w:val="00BA49E6"/>
    <w:rsid w:val="00BA526F"/>
    <w:rsid w:val="00BA6045"/>
    <w:rsid w:val="00BB0E3F"/>
    <w:rsid w:val="00BB3A45"/>
    <w:rsid w:val="00BD1AC0"/>
    <w:rsid w:val="00BD46D3"/>
    <w:rsid w:val="00BD5C47"/>
    <w:rsid w:val="00BF7E0D"/>
    <w:rsid w:val="00C043BA"/>
    <w:rsid w:val="00C06C5D"/>
    <w:rsid w:val="00C074ED"/>
    <w:rsid w:val="00C1721F"/>
    <w:rsid w:val="00C249DD"/>
    <w:rsid w:val="00C31049"/>
    <w:rsid w:val="00C40703"/>
    <w:rsid w:val="00C42868"/>
    <w:rsid w:val="00C476B3"/>
    <w:rsid w:val="00C82E24"/>
    <w:rsid w:val="00C96D2C"/>
    <w:rsid w:val="00CC3A39"/>
    <w:rsid w:val="00CD031C"/>
    <w:rsid w:val="00CD04EA"/>
    <w:rsid w:val="00CF6FD6"/>
    <w:rsid w:val="00D05B5A"/>
    <w:rsid w:val="00D1167E"/>
    <w:rsid w:val="00D13DB0"/>
    <w:rsid w:val="00D36F4D"/>
    <w:rsid w:val="00D52E90"/>
    <w:rsid w:val="00D53E5E"/>
    <w:rsid w:val="00D61D9A"/>
    <w:rsid w:val="00D83A5E"/>
    <w:rsid w:val="00D916D9"/>
    <w:rsid w:val="00D929E1"/>
    <w:rsid w:val="00D95D68"/>
    <w:rsid w:val="00DA19B8"/>
    <w:rsid w:val="00DB4757"/>
    <w:rsid w:val="00DB558F"/>
    <w:rsid w:val="00DF23EF"/>
    <w:rsid w:val="00E0132A"/>
    <w:rsid w:val="00E06341"/>
    <w:rsid w:val="00E11384"/>
    <w:rsid w:val="00E12057"/>
    <w:rsid w:val="00E13616"/>
    <w:rsid w:val="00E33F52"/>
    <w:rsid w:val="00E342A4"/>
    <w:rsid w:val="00E4787B"/>
    <w:rsid w:val="00E51350"/>
    <w:rsid w:val="00E538F3"/>
    <w:rsid w:val="00E6093C"/>
    <w:rsid w:val="00E70B4E"/>
    <w:rsid w:val="00E747AC"/>
    <w:rsid w:val="00E74D39"/>
    <w:rsid w:val="00EB59CC"/>
    <w:rsid w:val="00ED6F21"/>
    <w:rsid w:val="00EE0983"/>
    <w:rsid w:val="00EE7C00"/>
    <w:rsid w:val="00F0187B"/>
    <w:rsid w:val="00F0398A"/>
    <w:rsid w:val="00F0703E"/>
    <w:rsid w:val="00F25EB2"/>
    <w:rsid w:val="00F47B31"/>
    <w:rsid w:val="00F65999"/>
    <w:rsid w:val="00F844CC"/>
    <w:rsid w:val="00F9228D"/>
    <w:rsid w:val="00F93635"/>
    <w:rsid w:val="00FB7CD1"/>
    <w:rsid w:val="00FD2EF5"/>
    <w:rsid w:val="00FE1895"/>
    <w:rsid w:val="00FE6AC5"/>
    <w:rsid w:val="00FF6D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 fillcolor="silver" stroke="f">
      <v:fill color="silver"/>
      <v:stroke on="f"/>
    </o:shapedefaults>
    <o:shapelayout v:ext="edit">
      <o:idmap v:ext="edit" data="1"/>
    </o:shapelayout>
  </w:shapeDefaults>
  <w:decimalSymbol w:val=","/>
  <w:listSeparator w:val=";"/>
  <w14:docId w14:val="10CE50D0"/>
  <w15:docId w15:val="{402E3838-10D4-4F4D-BC70-D1643A0F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43" w:line="225" w:lineRule="exact"/>
      <w:ind w:left="567"/>
      <w:jc w:val="both"/>
    </w:pPr>
    <w:rPr>
      <w:rFonts w:ascii="Minion Pro" w:hAnsi="Minion Pro"/>
      <w:sz w:val="21"/>
    </w:rPr>
  </w:style>
  <w:style w:type="paragraph" w:styleId="berschrift1">
    <w:name w:val="heading 1"/>
    <w:basedOn w:val="Standard"/>
    <w:next w:val="Standard"/>
    <w:qFormat/>
    <w:pPr>
      <w:keepNext/>
      <w:tabs>
        <w:tab w:val="right" w:pos="454"/>
        <w:tab w:val="left" w:pos="567"/>
      </w:tabs>
      <w:spacing w:before="480" w:after="180" w:line="255" w:lineRule="exact"/>
      <w:ind w:hanging="567"/>
      <w:jc w:val="left"/>
      <w:outlineLvl w:val="0"/>
    </w:pPr>
    <w:rPr>
      <w:rFonts w:cs="Arial"/>
      <w:b/>
      <w:bCs/>
      <w:kern w:val="32"/>
      <w:sz w:val="24"/>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semiHidden/>
    <w:pPr>
      <w:spacing w:line="240" w:lineRule="auto"/>
      <w:ind w:left="0"/>
    </w:pPr>
    <w:rPr>
      <w:rFonts w:ascii="Courier" w:hAnsi="Courier"/>
      <w:sz w:val="24"/>
    </w:rPr>
  </w:style>
  <w:style w:type="paragraph" w:styleId="Funotentext">
    <w:name w:val="footnote text"/>
    <w:basedOn w:val="Standard"/>
    <w:link w:val="FunotentextZchn"/>
    <w:semiHidden/>
    <w:pPr>
      <w:spacing w:after="25" w:line="170" w:lineRule="exact"/>
      <w:ind w:left="822" w:hanging="255"/>
    </w:pPr>
    <w:rPr>
      <w:sz w:val="16"/>
    </w:rPr>
  </w:style>
  <w:style w:type="character" w:customStyle="1" w:styleId="Ueber1Zahl">
    <w:name w:val="Ueber.1.Zahl"/>
    <w:rPr>
      <w:sz w:val="50"/>
    </w:rPr>
  </w:style>
  <w:style w:type="paragraph" w:customStyle="1" w:styleId="Inhalt">
    <w:name w:val="Inhalt"/>
    <w:basedOn w:val="Standard"/>
    <w:pPr>
      <w:spacing w:after="30" w:line="170" w:lineRule="exact"/>
      <w:ind w:left="822" w:hanging="255"/>
    </w:pPr>
    <w:rPr>
      <w:sz w:val="17"/>
    </w:rPr>
  </w:style>
  <w:style w:type="paragraph" w:customStyle="1" w:styleId="Beispiel">
    <w:name w:val="Beispiel"/>
    <w:basedOn w:val="Standard"/>
    <w:pPr>
      <w:spacing w:line="180" w:lineRule="exact"/>
      <w:ind w:left="624" w:right="57"/>
    </w:pPr>
    <w:rPr>
      <w:sz w:val="17"/>
    </w:rPr>
  </w:style>
  <w:style w:type="character" w:styleId="Funotenzeichen">
    <w:name w:val="footnote reference"/>
    <w:semiHidden/>
    <w:rPr>
      <w:rFonts w:ascii="Minion Pro" w:hAnsi="Minion Pro"/>
      <w:vertAlign w:val="superscript"/>
    </w:rPr>
  </w:style>
  <w:style w:type="paragraph" w:styleId="Fuzeile">
    <w:name w:val="footer"/>
    <w:basedOn w:val="Standard"/>
    <w:semiHidden/>
    <w:pPr>
      <w:tabs>
        <w:tab w:val="center" w:pos="4536"/>
        <w:tab w:val="right" w:pos="9072"/>
      </w:tabs>
    </w:pPr>
  </w:style>
  <w:style w:type="paragraph" w:customStyle="1" w:styleId="Faelligkeit">
    <w:name w:val="Faelligkeit"/>
    <w:basedOn w:val="Standard"/>
    <w:pPr>
      <w:tabs>
        <w:tab w:val="center" w:pos="5103"/>
      </w:tabs>
      <w:spacing w:line="180" w:lineRule="exact"/>
      <w:ind w:left="1843" w:hanging="1276"/>
      <w:jc w:val="left"/>
    </w:pPr>
    <w:rPr>
      <w:b/>
      <w:bCs/>
      <w:sz w:val="17"/>
    </w:rPr>
  </w:style>
  <w:style w:type="paragraph" w:styleId="Kopfzeile">
    <w:name w:val="header"/>
    <w:basedOn w:val="Standard"/>
    <w:semiHidden/>
    <w:pPr>
      <w:tabs>
        <w:tab w:val="center" w:pos="4536"/>
        <w:tab w:val="right" w:pos="9072"/>
      </w:tabs>
    </w:pPr>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link w:val="SprechblasentextZchn"/>
    <w:uiPriority w:val="99"/>
    <w:semiHidden/>
    <w:unhideWhenUsed/>
    <w:rsid w:val="00E74D39"/>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74D39"/>
    <w:rPr>
      <w:rFonts w:ascii="Tahoma" w:hAnsi="Tahoma" w:cs="Tahoma"/>
      <w:sz w:val="16"/>
      <w:szCs w:val="16"/>
    </w:rPr>
  </w:style>
  <w:style w:type="character" w:customStyle="1" w:styleId="Standard1">
    <w:name w:val="Standard1"/>
    <w:rsid w:val="00530E64"/>
    <w:rPr>
      <w:rFonts w:ascii="Minion" w:hAnsi="Minion"/>
      <w:noProof w:val="0"/>
      <w:sz w:val="21"/>
      <w:lang w:val="de-DE"/>
    </w:rPr>
  </w:style>
  <w:style w:type="character" w:customStyle="1" w:styleId="Bold">
    <w:name w:val="Bold"/>
    <w:rsid w:val="00530E64"/>
    <w:rPr>
      <w:rFonts w:ascii="Minion Black" w:hAnsi="Minion Black"/>
      <w:noProof w:val="0"/>
      <w:sz w:val="21"/>
      <w:lang w:val="de-DE"/>
    </w:rPr>
  </w:style>
  <w:style w:type="paragraph" w:customStyle="1" w:styleId="UeberBeispiel">
    <w:name w:val="Ueber Beispiel"/>
    <w:rsid w:val="00A94352"/>
    <w:pPr>
      <w:keepNext/>
      <w:spacing w:before="85" w:after="42" w:line="180" w:lineRule="exact"/>
      <w:ind w:left="623" w:right="56"/>
      <w:jc w:val="both"/>
    </w:pPr>
    <w:rPr>
      <w:rFonts w:ascii="Minion Bold" w:hAnsi="Minion Bold"/>
      <w:sz w:val="17"/>
    </w:rPr>
  </w:style>
  <w:style w:type="paragraph" w:customStyle="1" w:styleId="Fun">
    <w:name w:val="Fußn."/>
    <w:rsid w:val="00761971"/>
    <w:pPr>
      <w:keepLines/>
      <w:tabs>
        <w:tab w:val="left" w:pos="255"/>
      </w:tabs>
      <w:spacing w:after="42" w:line="170" w:lineRule="exact"/>
      <w:ind w:left="255" w:hanging="256"/>
      <w:jc w:val="both"/>
    </w:pPr>
    <w:rPr>
      <w:rFonts w:ascii="Minion" w:hAnsi="Minion"/>
      <w:sz w:val="16"/>
    </w:rPr>
  </w:style>
  <w:style w:type="table" w:styleId="Tabellenraster">
    <w:name w:val="Table Grid"/>
    <w:basedOn w:val="NormaleTabelle"/>
    <w:uiPriority w:val="59"/>
    <w:rsid w:val="00273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ispielTabelle">
    <w:name w:val="Beispiel Tabelle"/>
    <w:qFormat/>
    <w:rsid w:val="00F65999"/>
    <w:pPr>
      <w:spacing w:after="30" w:line="180" w:lineRule="exact"/>
    </w:pPr>
    <w:rPr>
      <w:rFonts w:ascii="Minion Pro" w:hAnsi="Minion Pro"/>
      <w:sz w:val="17"/>
    </w:rPr>
  </w:style>
  <w:style w:type="character" w:customStyle="1" w:styleId="FunotentextZchn">
    <w:name w:val="Fußnotentext Zchn"/>
    <w:link w:val="Funotentext"/>
    <w:semiHidden/>
    <w:rsid w:val="008F5C91"/>
    <w:rPr>
      <w:rFonts w:ascii="Minion Pro" w:hAnsi="Minion Pro"/>
      <w:sz w:val="16"/>
    </w:rPr>
  </w:style>
  <w:style w:type="paragraph" w:styleId="Listenabsatz">
    <w:name w:val="List Paragraph"/>
    <w:basedOn w:val="Standard"/>
    <w:uiPriority w:val="34"/>
    <w:qFormat/>
    <w:rsid w:val="00E01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iff"/></Relationships>
</file>

<file path=word/_rels/footer1.xml.rels><?xml version="1.0" encoding="UTF-8" standalone="yes"?>
<Relationships xmlns="http://schemas.openxmlformats.org/package/2006/relationships"><Relationship Id="rId1" Type="http://schemas.openxmlformats.org/officeDocument/2006/relationships/image" Target="media/image3.tiff"/></Relationships>
</file>

<file path=word/_rels/footer2.xml.rels><?xml version="1.0" encoding="UTF-8" standalone="yes"?>
<Relationships xmlns="http://schemas.openxmlformats.org/package/2006/relationships"><Relationship Id="rId1" Type="http://schemas.openxmlformats.org/officeDocument/2006/relationships/image" Target="media/image4.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th\Desktop\IB_01_2019_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DDEE0-2F4A-43A5-B3C9-62EB52A2B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IB_01_2019_1.dotx</Template>
  <TotalTime>0</TotalTime>
  <Pages>4</Pages>
  <Words>1823</Words>
  <Characters>11486</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Allgemeine Steuerzahlungstermine im Januar</vt:lpstr>
    </vt:vector>
  </TitlesOfParts>
  <Company>Graph. Betrieb E. Gieseking GmbH</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Steuerzahlungstermine im Januar</dc:title>
  <dc:creator>Huth, Ursula</dc:creator>
  <cp:lastModifiedBy>Modrow@ad.efv</cp:lastModifiedBy>
  <cp:revision>11</cp:revision>
  <cp:lastPrinted>2020-02-12T06:32:00Z</cp:lastPrinted>
  <dcterms:created xsi:type="dcterms:W3CDTF">2020-02-11T07:14:00Z</dcterms:created>
  <dcterms:modified xsi:type="dcterms:W3CDTF">2020-02-12T08:25:00Z</dcterms:modified>
</cp:coreProperties>
</file>